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3" w:name="_GoBack"/>
      <w:bookmarkEnd w:id="23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承德市商务局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承德市商务局编制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1.补充业务费绩效目标表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2.司勤人员经费绩效目标表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3.网络运行维护费绩效目标表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4.2024年市场统计监测市场运行监测补贴绩效目标表</w:t>
      </w:r>
      <w:r>
        <w:tab/>
      </w:r>
      <w:r>
        <w:rPr>
          <w:rFonts w:hint="eastAsia"/>
          <w:lang w:val="en-US" w:eastAsia="zh-CN"/>
        </w:rPr>
        <w:t>9</w:t>
      </w:r>
      <w:r>
        <w:fldChar w:fldCharType="end"/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5.2024年市场统计监测外资外贸商贸流通企业数据直报补贴绩效目标表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6.2024年吸引外商投资奖励绩效目标表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7.2024年中央外经贸发展资金绩效目标表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8.促进汽车消费经费绩效目标表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9.冬春蔬菜、冻肉、生猪活体储备补贴绩效目标表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10.冻肉补贴绩效目标表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11.商务活动及外贸发展专项资金绩效目标表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12.蔬菜储备经费绩效目标表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8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13.水塔拆除经费绩效目标表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14.提前下达2023外贸龙头企业奖励等资金--市场运行监测补贴绩效目标表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15.外资和商贸流通企业数据直报补贴绩效目标表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16.瀚明大厦17、18层办公用房维修资金绩效目标表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2"/>
        <w:tabs>
          <w:tab w:val="right" w:leader="dot" w:pos="928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17.弥补人员工资绩效目标表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30903"/>
      <w:bookmarkStart w:id="1" w:name="_Toc_2_2_0000000001"/>
      <w:r>
        <w:rPr>
          <w:rFonts w:hint="eastAsia" w:ascii="黑体" w:hAnsi="黑体" w:eastAsia="黑体" w:cs="黑体"/>
          <w:color w:val="000000"/>
          <w:sz w:val="32"/>
          <w:szCs w:val="32"/>
        </w:rPr>
        <w:t>一、总体绩效目标</w:t>
      </w:r>
      <w:bookmarkEnd w:id="0"/>
      <w:bookmarkEnd w:id="1"/>
    </w:p>
    <w:p>
      <w:pPr>
        <w:spacing w:before="10" w:after="10" w:line="540" w:lineRule="exact"/>
        <w:ind w:firstLine="560"/>
        <w:outlineLvl w:val="1"/>
        <w:rPr>
          <w:rFonts w:ascii="仿宋_GB2312" w:hAnsi="仿宋_GB2312" w:eastAsia="仿宋_GB2312" w:cs="仿宋_GB2312"/>
          <w:sz w:val="32"/>
          <w:szCs w:val="32"/>
          <w:lang w:eastAsia="zh-CN"/>
        </w:rPr>
      </w:pPr>
      <w:bookmarkStart w:id="2" w:name="_Toc_2_2_0000000002"/>
      <w:bookmarkStart w:id="3" w:name="_Toc18012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坚持以习近平新时代中国特色社会主义思想为指导，深入学习贯彻党的二十大精神，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贯彻落实市委十五届九次全会精神，利用好主题教育成果，立足商务局职能与工作实际，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围绕中心服务大局，紧紧围绕市委、市政府中心工作，强化使命担当，以推动高质量发展为目标，以改革创新为动力，以提升服务能力为重点，持续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推进商务经济发展。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二、分项绩效目标</w:t>
      </w:r>
      <w:bookmarkEnd w:id="2"/>
      <w:bookmarkEnd w:id="3"/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楷体" w:hAnsi="楷体" w:eastAsia="楷体" w:cs="楷体"/>
          <w:b/>
          <w:bCs/>
          <w:kern w:val="2"/>
          <w:sz w:val="32"/>
          <w:szCs w:val="32"/>
        </w:rPr>
      </w:pPr>
      <w:bookmarkStart w:id="4" w:name="_Toc15554"/>
      <w:bookmarkStart w:id="5" w:name="_Toc_2_2_0000000003"/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持续用力扩消费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坚持把恢复和扩大消费摆在优先位置，推进消费领域供给侧结构性改革，着力激发有潜能的消费，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 w:bidi="ar-SA"/>
        </w:rPr>
        <w:t>切实发挥消费对拉动经济增长的基础作用。稳步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扩大传统消费，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eastAsia="zh-CN"/>
        </w:rPr>
        <w:t>定传统消费，提振餐饮住宿、家政养老等服务消费。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提振大宗消费，全面落实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汽车、家电等大宗商品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促消费政策，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持续开展惠民车展、汽车下乡等活动。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-6"/>
          <w:sz w:val="32"/>
          <w:szCs w:val="32"/>
          <w:highlight w:val="none"/>
          <w:u w:val="none" w:color="auto"/>
          <w:lang w:val="en-US" w:eastAsia="zh-CN"/>
        </w:rPr>
        <w:t>培育新型消费，大力发展数字消费、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-6"/>
          <w:sz w:val="32"/>
          <w:szCs w:val="32"/>
          <w:highlight w:val="none"/>
          <w:u w:val="none" w:color="auto"/>
          <w:lang w:val="en-US" w:eastAsia="zh-CN"/>
        </w:rPr>
        <w:t>色消费、健康消费，积极培育智能家居、文娱旅游、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体育赛事、国货潮品、直播带货等新的增长点。优化消费环境，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承德名吃名店名宴评选活动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老字号品牌创建工作，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6"/>
          <w:sz w:val="32"/>
          <w:szCs w:val="32"/>
          <w:highlight w:val="none"/>
          <w:u w:val="none" w:color="auto"/>
          <w:lang w:val="en-US" w:eastAsia="zh-CN"/>
        </w:rPr>
        <w:t>重点打造地标性消费聚集区，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提升消费品质；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推动有望达限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入统限上，为消费稳定增长提供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有效支撑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绩效指标: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开展全承钜惠、消费促进月、节日欢乐购等大型促消费活动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10场以上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，力争实现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新能源汽车消费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-6"/>
          <w:sz w:val="32"/>
          <w:szCs w:val="32"/>
          <w:highlight w:val="none"/>
          <w:u w:val="none" w:color="auto"/>
          <w:lang w:val="en-US" w:eastAsia="zh-CN"/>
        </w:rPr>
        <w:t>增长20%以上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网络零售额增长10%以上。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color w:val="auto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保稳提质促外贸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开展暖企助企系列护航行动，组织企业参加各类培训和境内外展会，引导企业走出去。支持骨干企业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扩出口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；支持平泉舒适、滦平华都研发符合国际市场产品，拓市场保订单。巩固协调河钢国际，推动建龙特钢铁矿石自主进口，探索建设大宗产品进口平台，服务钢铁、选矿企业进口铁矿石，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促进口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。培育跨境电子商务主体，强化与大龙网、阿里巴巴承德服务中心跨境电商对接，拉出口回流；探索“跨境电商+产业带”发展模式，借助跨境电商海外渠道，助力农产品销售。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绩效指标：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2024年进出口增长3.5%，高标准组织企业参加广交会等境内外贸易活动，扩大国际“朋友圈”，支持“一带一路”市场开拓，全年培育新进出口企业10家以上。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精准施策促外资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外资工作机制，为企业提供全流程服务，助企纾困解难；落实政策措施，引导外资企业提高合同外资履约率、增资扩股，争取省级奖励。推动华润风电、中广核光伏、双滦美富淦等项目投产达效，确保外资及时入统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细化量化目标，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压实县区主体责任，探索以贸易促外资、以产业换外资、以项目引外资等方式，寻求新突破。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绩效指标：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制定2024年度全市利用外资工作方案，召开利用外资工作调度会至少一次，新增外商投资企业3家以上。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多点突破畅流通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丰宁、宽城等4个县第三、四批县域商业体系建设试点创建和实施工作，改造提升一批乡镇商贸中心和县级物流配送中心，完善服务功能，激活农村消费潜力，提升快递出港量。开展电商助农、产销对接等活动，推动农产品上行，助力乡村振兴。着力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突出便民惠民利民的“一刻钟便民生活圈”试点，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满足居民便利化、品质化消费需求。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建设改造县级物流配送中心2个，乡镇商贸中心20个以上。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三、工作保障措施</w:t>
      </w:r>
      <w:bookmarkEnd w:id="4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（一）完善制度建设。</w:t>
      </w:r>
      <w:r>
        <w:rPr>
          <w:rFonts w:hint="eastAsia" w:ascii="仿宋" w:hAnsi="仿宋" w:eastAsia="仿宋" w:cs="仿宋"/>
          <w:sz w:val="32"/>
          <w:szCs w:val="32"/>
        </w:rPr>
        <w:t>坚持把习近平新时代中国特色社会主义思想和党的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二十大</w:t>
      </w:r>
      <w:r>
        <w:rPr>
          <w:rFonts w:hint="eastAsia" w:ascii="仿宋" w:hAnsi="仿宋" w:eastAsia="仿宋" w:cs="仿宋"/>
          <w:sz w:val="32"/>
          <w:szCs w:val="32"/>
        </w:rPr>
        <w:t>精神作为首要政治任务，根据中央和省、市全面实施预算绩效管理的意见，以及我市预算绩效管理相关要求，健全本部门预算绩效管理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、资金管理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办法、工作保障制度</w:t>
      </w:r>
      <w:r>
        <w:rPr>
          <w:rFonts w:hint="eastAsia" w:ascii="仿宋" w:hAnsi="仿宋" w:eastAsia="仿宋" w:cs="仿宋"/>
          <w:sz w:val="32"/>
          <w:szCs w:val="32"/>
        </w:rPr>
        <w:t>等制度规定，按要求开展部门预算绩效监控、绩效自评等工作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为全年预算绩效目标的实现奠定制度基础。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）加强支出管理。</w:t>
      </w:r>
      <w:r>
        <w:rPr>
          <w:rFonts w:hint="eastAsia" w:ascii="仿宋" w:hAnsi="仿宋" w:eastAsia="仿宋" w:cs="仿宋"/>
          <w:sz w:val="32"/>
          <w:szCs w:val="32"/>
        </w:rPr>
        <w:t>编细编实预算，将项目细化到可执行程度。调整优化支出结构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加快履行政府采购手续、尽快启动项目</w:t>
      </w:r>
      <w:r>
        <w:rPr>
          <w:rFonts w:hint="eastAsia" w:ascii="仿宋" w:hAnsi="仿宋" w:eastAsia="仿宋" w:cs="仿宋"/>
          <w:sz w:val="32"/>
          <w:szCs w:val="32"/>
        </w:rPr>
        <w:t>、及时支付资金等措施，按照年初计划组织开展各项工作活动，及时有序支付资金。加强预算资金支出动态过程管理，实时掌握预算支出进度，按照市财政局关于支出进度的关键时间节点，加快项目执行。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（三）加强绩效运行监控。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按要求开展绩效运行监控，发现问题及时采取有效措施，确保绩效目标如期保质实现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（四）做好绩效自评。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按要求开展上年度部门预算绩效自评和重点评价工作，对评价中发现的问题及时整改，调整优化支出结构，提高财政资金使用效益。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（五）规范财务资产管理。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完善财务管理制度，严格审批程序，加强固定资产登记、使用和报废处置管理，做到支出合理，物尽其用。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）加强内部监督。</w:t>
      </w:r>
      <w:r>
        <w:rPr>
          <w:rFonts w:hint="eastAsia" w:ascii="仿宋" w:hAnsi="仿宋" w:eastAsia="仿宋" w:cs="仿宋"/>
          <w:sz w:val="32"/>
          <w:szCs w:val="32"/>
        </w:rPr>
        <w:t>进一步加强内部监督制度建设，对绩效运行情况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重大支出决策、资产处置及其他重要经济业务事项的决策和执行进行监督，对会计资料进行内部审计，并配合做好审计、财政监督等外部监督工作，确保财政资金安全有效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）加强宣传培训调研等。</w:t>
      </w:r>
      <w:r>
        <w:rPr>
          <w:rFonts w:hint="eastAsia" w:ascii="仿宋" w:hAnsi="仿宋" w:eastAsia="仿宋" w:cs="仿宋"/>
          <w:sz w:val="32"/>
          <w:szCs w:val="32"/>
        </w:rPr>
        <w:t>加强人员培训，提高相关人员业务素质；加强调研，研究制定出符合贸促会实际的财政资金配置和使用的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意见建议</w:t>
      </w:r>
      <w:r>
        <w:rPr>
          <w:rFonts w:hint="eastAsia" w:ascii="仿宋" w:hAnsi="仿宋" w:eastAsia="仿宋" w:cs="仿宋"/>
          <w:sz w:val="32"/>
          <w:szCs w:val="32"/>
        </w:rPr>
        <w:t>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1.补充业务费绩效目标表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13080024P000014100041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补充业务费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75.00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保障机关正常运转，服务于机关全年目标任务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1.保障机关正常运转，服务于机关全年目标任务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工作日保障单位运转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工作日保障单位运转情况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≥8小时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行政事业单位法定工作时间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经费支出准确率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经费支出符合财务管理制度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按时间进度要求支付使用资金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按时间进度要求支付使用资金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及时支付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各项经费成本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各项经费成本总额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≤75万元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财政预算批复文件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使用节能减排产品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使用节能减排产品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使用节能减排产品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正常办公条件保障情况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正常办公条件保障情况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良好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单位工作人员满意度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单位工作人员满意情况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2.司勤人员经费绩效目标表</w:t>
      </w:r>
      <w:bookmarkEnd w:id="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13080024P00001310004B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司勤人员经费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2024年度购买司勤服务。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1.1.人员工资及时足额发放</w:t>
            </w:r>
          </w:p>
          <w:p>
            <w:pPr>
              <w:pStyle w:val="16"/>
            </w:pPr>
            <w:r>
              <w:t>2.保障劳务派遣人员正常社会保障事项</w:t>
            </w:r>
          </w:p>
          <w:p>
            <w:pPr>
              <w:pStyle w:val="16"/>
            </w:pPr>
            <w:r>
              <w:t>3.保障劳务派遣人员正常工作需要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保障的司勤服务人数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保障的司勤服务人数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年度工作计划及日常工作要求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工资发放准确率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工资发放准确率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发放核定数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按月足额拨付资金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按月足额拨付资金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每月8日前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每月8日前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个人核定工资数额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个人核定工资数额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工资标准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工资标准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持续提供司勤服务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持续提供司勤服务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持续提供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年度工作计划及日常工作要求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解决社会就业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解决社会就业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解决就业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派遣人员满意度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派遣人员满意度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3.网络运行维护费绩效目标表</w:t>
      </w:r>
      <w:bookmarkEnd w:id="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13080024P00001510005A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用于承德商务网和公众号运行维护1.9万元，日常网络运行维护3.1万元。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1.保障网络正常运转，确保网络安全，宣传商务领域信息，提高经济效益。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运营商务网站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运营商务网站数量情况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≥2个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网络故障处理率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网络故障处理情况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网络运行维护及时性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网络运行维护及时性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及时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网络运行维护总成本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网络运行维护总成本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财政预算批复文件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提高社会认可度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提高社会认可度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巩固提升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持续运营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持续运营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4.2024年市场统计监测市场运行监测补贴绩效目标表</w:t>
      </w:r>
      <w:bookmarkEnd w:id="9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13080024P00011110007J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2024年市场统计监测市场运行监测补贴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2.90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2.90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按省厅要求完成对企业的市场运行监测，将市场运行监测补助发放到位。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1.按省厅要求完成对企业的市场运行监测，将市场运行监测补助发放到位。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监测企业数量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监测企业数量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≥20家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监测覆盖率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监测企业覆盖率</w:t>
            </w:r>
          </w:p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市场监测企业信息员发放市场监测补贴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为企业市场监测信息员发放补贴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≤2.9万元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财政预算批复文件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相关资金发放完成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2025年6月30日前拨付完成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按要求完成对企业的市场运行监测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按省厅要求完成对企业的市场运行监测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省商务厅绩效目标要求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5.2024年市场统计监测外资外贸商贸流通企业数据直报补贴绩效目标表</w:t>
      </w:r>
      <w:bookmarkEnd w:id="1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13080024P00011010005M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2024年市场统计监测外资外贸商贸流通企业数据直报补贴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57.20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57.20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企业按要求完成数据直报填报，外资外贸商贸流通企业数据直报补贴资金按要求发放到位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1.企业按要求完成数据直报填报，外资外贸商贸流通企业数据直报补贴资金按要求发放到位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填报企业数量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填报企业数量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≥252家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商贸流通行业统计系统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报送期内企业填报期数占总期数的比率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报送期内企业填报期数占总期数的比率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≤80%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商贸流通行业统计系统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资金预下达时间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资金预下达时间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2025年6月30日前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对下转移支付总额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对下转移支付总额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≤57.2万元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冀财建（2023）236号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及时掌握全市企业发展态势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及时掌握全市企业发展态势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及时上报监测数据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商贸流通行业统计系统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促进企业健康发展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促进企业健康发展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促进企业健康发展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历史经验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调动企业上报数据积极性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调动企业上报数据积极性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6.2024年吸引外商投资奖励绩效目标表</w:t>
      </w:r>
      <w:bookmarkEnd w:id="1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13080024P000112100051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2024年吸引外商投资奖励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294.00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294.00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 xml:space="preserve"> 达标外商投资企业奖励资金发放到位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1.达标外商投资企业奖励资金，发放到位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奖励外商投资企业数量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奖励外商投资企业数量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省外商投资奖励办法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受奖励企业合规率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受奖励企业合规率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省外商投资奖励办法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奖励支持企业时限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奖励支持企业时限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2024年12月31日前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省外商投资奖励办法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奖励支持金额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奖励支持金额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≤294万元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省外商投资奖励办法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全市实际使用外资提升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全市实际使用外资提升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全市实际使用外资正增长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省外商投资奖励办法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全市实际使用外资提升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全市实际使用外资提升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全市实际使用外资正增长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省外商投资奖励办法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受奖励企业满意度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受奖励企业满意度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7.2024年中央外经贸发展资金绩效目标表</w:t>
      </w:r>
      <w:bookmarkEnd w:id="1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13080024P000113100043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2024年中央外经贸发展资金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33.00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33.00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积极推动我市企业开拓国内外市场，展示我市优势产品和成果等，促进经贸合作。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1.积极推动我市企业开拓国内外市场，展示我市优势产品和成果等，促进经贸合作。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参加展会个数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参加展会个数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≥3 个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省厅相关文件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参展企业保障率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参展企业保障率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任务完成时间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任务完成时间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项目成本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项目成本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≤33万元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冀财建[2023]225号文件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参展企业及产品知名度变化情况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参展企业及产品知名度变化情况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带动欠发达地区贸易发展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带动欠发达地区贸易发展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进一步发展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参展企业成交额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参展企业现场销售和签约成交额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≥50万元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历史经验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活动参与者满意度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活动参与者满意度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8.促进汽车消费经费绩效目标表</w:t>
      </w:r>
      <w:bookmarkEnd w:id="1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13080024P000012100032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促进汽车消费经费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资金主要用于会展布置及服务、场地租赁、广告宣传、小程序运维、购车补贴等。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 xml:space="preserve">1.1.组织开展汽车消费促进月活动一次   </w:t>
            </w:r>
          </w:p>
          <w:p>
            <w:pPr>
              <w:pStyle w:val="16"/>
            </w:pPr>
            <w:r>
              <w:t>2.达到汽车交易额</w:t>
            </w:r>
          </w:p>
          <w:p>
            <w:pPr>
              <w:pStyle w:val="16"/>
            </w:pPr>
            <w:r>
              <w:t>3.持久推动汽车消费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开展汽车消费促进月次数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开展汽车消费促进月次数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1次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2023年汽车促消费工作谋划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年度汽车促销计划完成率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年度汽车促销计划完成率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2023年汽车促销费工作谋划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汽车促销活动完成时间</w:t>
            </w:r>
          </w:p>
          <w:p>
            <w:pPr>
              <w:pStyle w:val="16"/>
            </w:pP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汽车促销活动完成时间</w:t>
            </w:r>
          </w:p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12月底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2023年汽车促消费整体工作安排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≤180万元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去年完成汽车促销活动使用资金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吸引消费者，促进我市汽车消费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吸引消费者，促进我市汽车消费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巩固提升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2023年汽车促销费工作谋划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促成汽车成交额(亿元)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促成汽车成交额(亿元)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≥2亿元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去年同期水平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持久推动汽车消费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持久推动汽车消费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去年同期水平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2023年汽车促销费工作谋划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9.冬春蔬菜、冻肉、生猪活体储备补贴绩效目标表</w:t>
      </w:r>
      <w:bookmarkEnd w:id="1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13080023P00018010003J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冬春蔬菜、冻肉、生猪活体储备补贴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冬春蔬菜、冻肉、生猪活体储备补贴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1.冬春蔬菜、冻肉、生猪活体储备补贴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储备数量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储备期内实际在库的冻肉和生猪存栏数量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450吨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省商务厅、财政厅、发改委《关于做好2023年度省级冻肉和冬春蔬菜储备工作的通知》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储备质量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储备期内实际在库的冻肉和生猪存栏质量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履行合同约定的质量标准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省商务厅、财政厅、发改委《关于做好2023年度省级冻肉和冬春蔬菜储备工作的通知》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储备期限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合同约定的储备期限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省商务厅、财政厅、发改委《关于做好2023年度省级冻肉和冬春蔬菜储备工作的通知》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储备成本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省定储备补贴资金数额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≤48万元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省商务厅、财政厅、发改委《关于做好2023年度省级冻肉和冬春蔬菜储备工作的通知》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发挥储备保障作用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确保突发状况（或特殊时段）的紧急调拨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确保突发状况（或特殊时段）的紧急调拨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省商务厅、财政厅、发改委《关于做好2023年度省级冻肉和冬春蔬菜储备工作的通知》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持续影响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持续按省要求做好冻肉储备工作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持续按省要求做好冻肉储备工作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省商务厅、财政厅、发改委《关于做好2023年度省级冻肉和冬春蔬菜储备工作的通知》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承储企业对开展此项工作的满意度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承储企业对开展此项工作的满意度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10.冻肉补贴绩效目标表</w:t>
      </w:r>
      <w:bookmarkEnd w:id="1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13080024P00000810006P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冻肉补贴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按照《省委办公厅、省政府办公厅关于印发&lt;关于进一步加强粮食储备和能源安全的实施意见&gt;的通知》（冀办发〔2020〕18号）、《省发改委、省商务厅关于加强地方冻猪肉储备工作的通知》（冀发改服务〔2019〕1073号）等文件要求，我市建立了市级肉类蔬菜储备制度，市级财政每年安排50万元，用于储备冻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1.1.证储备冻肉数量</w:t>
            </w:r>
          </w:p>
          <w:p>
            <w:pPr>
              <w:pStyle w:val="16"/>
            </w:pPr>
            <w:r>
              <w:t>2.保证储备冻肉质量</w:t>
            </w:r>
          </w:p>
          <w:p>
            <w:pPr>
              <w:pStyle w:val="16"/>
            </w:pPr>
            <w:r>
              <w:t>3.确保储备时效，稳定市场价格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冻肉储备数量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冻肉储备数量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250吨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质量达到储备标准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质量达到储备标准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保证储备时限要求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保证储备时限要求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12月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控制储备成本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控制储备成本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财政预算批复文件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可提高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储备计划及要求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提高社会效益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提高社会效益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可提高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持续影响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持续影响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保持节能环保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保持节能环保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节能环保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按节能环保要求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供应对象满意度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供应对象满意度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11.商务活动及外贸发展专项资金绩效目标表</w:t>
      </w:r>
      <w:bookmarkEnd w:id="1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13080024P000010100023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商务活动及外贸发展专项资金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组织参加国际、国家及省、市的各项商务贸易洽谈、对接及博览会等费用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1.1.积极参加、组织种类商务活动</w:t>
            </w:r>
          </w:p>
          <w:p>
            <w:pPr>
              <w:pStyle w:val="16"/>
            </w:pPr>
            <w:r>
              <w:t>2.宣传承德主导产品，促进经济发展</w:t>
            </w:r>
          </w:p>
          <w:p>
            <w:pPr>
              <w:pStyle w:val="16"/>
            </w:pPr>
            <w:r>
              <w:t>3.完成利用外资、外贸进、出口等各项考核指标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开展商务活动数量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开展商务活动数量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单位工作计划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完成外贸进出口指标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完成外贸进出口指标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省考核指标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确保活动如期开展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确保活动如期开展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12月底前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确保考核指标完成率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确保考核指标完成率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省考核指标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控制支出成本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控制支出成本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≤70万元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财务管理制度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利用外资额度增加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利用外资额度增加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省考核目标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促进全市经济发展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促进全市经济发展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巩固提升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12.蔬菜储备经费绩效目标表</w:t>
      </w:r>
      <w:bookmarkEnd w:id="1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13080024P000009100046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蔬菜储备经费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保证储备蔬菜数量，保证储备蔬菜质量，确保储备时效，稳定市场价格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1.1.保证储备蔬菜数量</w:t>
            </w:r>
          </w:p>
          <w:p>
            <w:pPr>
              <w:pStyle w:val="16"/>
            </w:pPr>
            <w:r>
              <w:t>2.保证储备蔬菜质量</w:t>
            </w:r>
          </w:p>
          <w:p>
            <w:pPr>
              <w:pStyle w:val="16"/>
            </w:pPr>
            <w:r>
              <w:t>3.确保储备时效，稳定市场价格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蔬菜储备数量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蔬菜储备数量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1000吨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质量达到储备标准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质量达到储备标准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保证储备时效要求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保证储备时效要求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4月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控制储备成本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控制储备成本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财政预算批复文件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持续影响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持续影响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</w:t>
            </w:r>
          </w:p>
          <w:p>
            <w:pPr>
              <w:pStyle w:val="16"/>
            </w:pP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工作计划及储备要求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可提高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工作计划及储备要求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提高社会效益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提高社会效益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  <w:p>
            <w:pPr>
              <w:pStyle w:val="16"/>
            </w:pPr>
            <w:r>
              <w:t>可提升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保持节能环保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保持节能环保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节能环保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供应对象满意度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供应对象满意度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13.水塔拆除经费绩效目标表</w:t>
      </w:r>
      <w:bookmarkEnd w:id="1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13080023P000039100078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水塔拆除经费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36.69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36.69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水塔拆除经费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原商业局小区水塔坐落于居民区,水塔总高为34m，外直径4.2m，为砖混凝结构，已多年失修，筒壁已破损，腐朽严重，周围空间狭小，民房贴近水塔，无机械拆除、爆破可行性，为保障周边居民生活安全，故采用人工拆除方法,2023年年度进行拆除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建筑拆除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拆除水塔数量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1座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《建设工程工程量清单计价规范》（GB50500-2013）、《河北省建筑、安装、市政、装修装饰工程费用标准（HEBGFB-1-2012）》等文件依据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实际完成工程量占计划完成工程量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项目结算书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工程完成及时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按计划完成水塔拆除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项目结算书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严格控制成本，不超预算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不超预算数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≤36.69万元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《河北省建筑、安装、市政、装修装饰工程费用标准（HEBGFB-1-2012）》及《原商业局小区水塔拆除项目招标控制价》、《原商业局小区水塔拆除项目工程量清单》等文件依据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隐患消除情况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通过拆除，消除安全隐患，保障周边居民安全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现场实地考察情况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方便大众出行影响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对方便大众出行影响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居民反馈及问卷调查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 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 xml:space="preserve"> 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居民反馈及问卷调查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14.提前下达2023外贸龙头企业奖励等资金--市场运行监测补贴绩效目标表</w:t>
      </w:r>
      <w:bookmarkEnd w:id="19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13080023P00009410008T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提前下达2023外贸龙头企业奖励等资金--市场运行监测补贴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24.76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24.76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市场运行监测补贴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监测信息报送率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周报、旬报、月报企业市场监测信息年度报送率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监测信息报送情况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周报、旬报、月报企业市场监测信息年度报送情况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周报、旬报、月报企业市场监测信息年度报送及时、准确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根据省商务厅要求及工资计划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市场监测企业信息员发放市场监测补贴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为市场监测企业信息员发放市场监测补贴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≤24.76万元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根据省商务厅要求，报送率90%（含)以上的企业全额发放监测费，报送率不足90%的按照实际报送率按比例发放。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完成市场运行相关资金发放工作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2023年12月31日前拨付企业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根据省商务厅要求及工资计划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及时掌握发布市场信息，引导居民消费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及时掌握监测企业发布的市场信息，做好市场研判，开展促消费活动，引导居民消费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及时上报监测数据，有效预测预警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省商务厅绩效目标要求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根据市场监测信息情况，开展促消费活动，引导居民消费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及时掌握监测企业发布的市场信息，做好市场研判，开展促消费活动，引导居民消费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及时上报监测数据，开展促消费活动，引导居民消费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省商务厅绩效目标要求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≥90百分号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15.外资和商贸流通企业数据直报补贴绩效目标表</w:t>
      </w:r>
      <w:bookmarkEnd w:id="2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13080023P00018110005F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外资和商贸流通企业数据直报补贴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外贸和商贸流通企业数据直报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1.商贸流通企业数据直报补贴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填报企业数量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填报企业数量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≤312家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根据省商务厅要求，报送率80%（含）以上的企业全额发放，报送率不足80%的，不予发放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报送期内企业填报期数占总期数的比率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报送期内企业填报期数占总期数的比率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资金完成清算时间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时间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2024年6月底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对下转移支付总额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总额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≤55万元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及时上报监测数据，有效预测预警，定时向省厅报送数据分析报告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及时上报监测数据，有效预测预警，定时向省厅报送数据分析报告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≤12期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根据数据直报情况，掌握企业经营状况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根据数据直报情况，掌握企业经营状况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乐观，保守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根据省商务厅要求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参与2023数据填报企业对补贴发放、直报工作的满意度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参与2023数据填报企业对补贴发放、直报工作的满意度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16.瀚明大厦17、18层办公用房维修资金绩效目标表</w:t>
      </w:r>
      <w:bookmarkEnd w:id="2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482001承德市商务局本级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13080024P00001110003C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瀚明大厦17、18层办公用房维修资金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翰明大厦17.18层办公房维修维护费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1.2024年度完成瀚明大厦17、18层办公用房维修。主要是更换部分棚顶、破损地砖，更换办公室木门、防火门，升级改造弱电线路和电路。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房屋维修面积数量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房屋维修面积数量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1030平方米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承德市机关事务管理局关于2023年党政机关办公用房大中修项目的通知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房屋门数量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房屋门数量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32扇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通过验收的工程量占总量的比率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项目结算书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严格控制成本，不超预算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不超预算安排数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财政相关规定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施工进展情况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按合同要求及时施工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2024年12月底前完成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项目合同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隐患消除情况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消除安全隐患，为干部职工办公和群众办事提供安全场所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巩固提升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房屋能效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持续为干部职工提供安全办公场所和办公效率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使用对象满意率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使用对象满意率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17.弥补人员工资绩效目标表</w:t>
      </w:r>
      <w:bookmarkEnd w:id="2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482003承德市商务局劳动就业指导服务中心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13080024P000016100050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</w:pPr>
            <w:r>
              <w:t>弥补人员工资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16.60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16.60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弥补人员工资，保障单位正常运转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</w:pPr>
            <w:r>
              <w:t>1.弥补人员工资，保障单位正常运转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在岗在编人员数量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在岗在编人员数量情况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24人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单位人员工资审批表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出勤率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出勤情况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考勤表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按月足额拨付资金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按月足额拨付资金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每月8日前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支出进度要求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核定工资数额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核定工资数额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≤16.6万元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保障人员工资及保险正常发放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保障人员工资及保险正常发放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维护单位正常运转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保障人员工资及保险正常发放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保障人员工资及保险正常发放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保工资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维护单位正常运转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单位职工满意度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单位职工满意情况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ABCA0"/>
    <w:multiLevelType w:val="singleLevel"/>
    <w:tmpl w:val="B26ABCA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YmZiNTJkMzk0NjVhNmYwMDc4ZTQwNGFkMmQ5YTMifQ=="/>
  </w:docVars>
  <w:rsids>
    <w:rsidRoot w:val="00F94A8F"/>
    <w:rsid w:val="00080305"/>
    <w:rsid w:val="00131CC6"/>
    <w:rsid w:val="00F94A8F"/>
    <w:rsid w:val="30A074E8"/>
    <w:rsid w:val="661C5C1C"/>
    <w:rsid w:val="6BAB7077"/>
    <w:rsid w:val="6D617335"/>
    <w:rsid w:val="78B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qFormat="1" w:unhideWhenUsed="0" w:uiPriority="9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6"/>
    <w:basedOn w:val="1"/>
    <w:next w:val="1"/>
    <w:autoRedefine/>
    <w:qFormat/>
    <w:uiPriority w:val="99"/>
    <w:pPr>
      <w:ind w:left="2100"/>
    </w:pPr>
  </w:style>
  <w:style w:type="paragraph" w:styleId="5">
    <w:name w:val="toc 2"/>
    <w:basedOn w:val="1"/>
    <w:qFormat/>
    <w:uiPriority w:val="0"/>
    <w:pPr>
      <w:ind w:left="240"/>
    </w:p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eastAsia="宋体" w:cs="Times New Roman"/>
      <w:lang w:eastAsia="zh-CN"/>
    </w:rPr>
  </w:style>
  <w:style w:type="paragraph" w:styleId="7">
    <w:name w:val="Title"/>
    <w:basedOn w:val="1"/>
    <w:next w:val="1"/>
    <w:autoRedefine/>
    <w:qFormat/>
    <w:uiPriority w:val="99"/>
    <w:pPr>
      <w:spacing w:before="240" w:after="60"/>
      <w:jc w:val="center"/>
    </w:pPr>
    <w:rPr>
      <w:rFonts w:ascii="等线 Light" w:hAnsi="等线 Light"/>
      <w:b/>
      <w:bCs/>
      <w:sz w:val="32"/>
      <w:szCs w:val="32"/>
    </w:rPr>
  </w:style>
  <w:style w:type="table" w:styleId="9">
    <w:name w:val="Table Grid"/>
    <w:basedOn w:val="8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BodyText"/>
    <w:basedOn w:val="1"/>
    <w:next w:val="20"/>
    <w:autoRedefine/>
    <w:qFormat/>
    <w:uiPriority w:val="99"/>
    <w:pPr>
      <w:spacing w:after="120" w:line="360" w:lineRule="auto"/>
      <w:ind w:firstLine="200" w:firstLineChars="200"/>
    </w:pPr>
    <w:rPr>
      <w:rFonts w:ascii="??_GB2312" w:hAnsi="??_GB2312"/>
      <w:sz w:val="30"/>
      <w:szCs w:val="20"/>
    </w:rPr>
  </w:style>
  <w:style w:type="paragraph" w:customStyle="1" w:styleId="20">
    <w:name w:val="UserStyle_3"/>
    <w:basedOn w:val="1"/>
    <w:next w:val="21"/>
    <w:autoRedefine/>
    <w:qFormat/>
    <w:uiPriority w:val="0"/>
    <w:pPr>
      <w:snapToGrid w:val="0"/>
      <w:spacing w:before="100" w:beforeAutospacing="1" w:after="120" w:line="460" w:lineRule="exact"/>
      <w:ind w:firstLine="200" w:firstLineChars="200"/>
    </w:pPr>
    <w:rPr>
      <w:rFonts w:ascii="等线" w:hAnsi="等线"/>
      <w:sz w:val="24"/>
      <w:szCs w:val="24"/>
    </w:rPr>
  </w:style>
  <w:style w:type="paragraph" w:customStyle="1" w:styleId="21">
    <w:name w:val="UserStyle_4"/>
    <w:basedOn w:val="7"/>
    <w:autoRedefine/>
    <w:qFormat/>
    <w:uiPriority w:val="99"/>
    <w:pPr>
      <w:spacing w:line="360" w:lineRule="auto"/>
    </w:pPr>
    <w:rPr>
      <w:rFonts w:ascii="Cambria" w:hAnsi="Cambria" w:eastAsia="等线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2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footer" Target="foot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2024-02-07T15:30:28Z</dcterms:created>
  <dcterms:modified xsi:type="dcterms:W3CDTF">2024-02-07T07:30:28Z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2024-02-07T15:30:25Z</dcterms:created>
  <dcterms:modified xsi:type="dcterms:W3CDTF">2024-02-07T07:30:25Z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2024-02-07T15:30:26Z</dcterms:created>
  <dcterms:modified xsi:type="dcterms:W3CDTF">2024-02-07T07:30:26Z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2024-02-07T15:30:30Z</dcterms:created>
  <dcterms:modified xsi:type="dcterms:W3CDTF">2024-02-07T07:30:30Z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2024-02-07T15:30:28Z</dcterms:created>
  <dcterms:modified xsi:type="dcterms:W3CDTF">2024-02-07T07:30:28Z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2024-02-07T15:30:27Z</dcterms:created>
  <dcterms:modified xsi:type="dcterms:W3CDTF">2024-02-07T07:30:27Z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2024-02-07T15:30:28Z</dcterms:created>
  <dcterms:modified xsi:type="dcterms:W3CDTF">2024-02-07T07:30:28Z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2024-02-07T15:30:29Z</dcterms:created>
  <dcterms:modified xsi:type="dcterms:W3CDTF">2024-02-07T07:30:29Z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2024-02-07T15:30:25Z</dcterms:created>
  <dcterms:modified xsi:type="dcterms:W3CDTF">2024-02-07T07:30:25Z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2024-02-07T15:30:28Z</dcterms:created>
  <dcterms:modified xsi:type="dcterms:W3CDTF">2024-02-07T07:30:27Z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2024-02-07T15:30:29Z</dcterms:created>
  <dcterms:modified xsi:type="dcterms:W3CDTF">2024-02-07T07:30:29Z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2024-02-07T15:30:25Z</dcterms:created>
  <dcterms:modified xsi:type="dcterms:W3CDTF">2024-02-07T07:30:25Z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2024-02-07T15:30:29Z</dcterms:created>
  <dcterms:modified xsi:type="dcterms:W3CDTF">2024-02-07T07:30:29Z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2024-02-07T15:30:30Z</dcterms:created>
  <dcterms:modified xsi:type="dcterms:W3CDTF">2024-02-07T07:30:30Z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2024-02-07T15:30:26Z</dcterms:created>
  <dcterms:modified xsi:type="dcterms:W3CDTF">2024-02-07T07:30:26Z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2024-02-07T15:30:27Z</dcterms:created>
  <dcterms:modified xsi:type="dcterms:W3CDTF">2024-02-07T07:30:27Z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2024-02-07T15:30:27Z</dcterms:created>
  <dcterms:modified xsi:type="dcterms:W3CDTF">2024-02-07T07:30:27Z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2024-02-07T15:30:26Z</dcterms:created>
  <dcterms:modified xsi:type="dcterms:W3CDTF">2024-02-07T07:30:26Z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2024-02-07T15:30:29Z</dcterms:created>
  <dcterms:modified xsi:type="dcterms:W3CDTF">2024-02-07T07:30:29Z</dcterms:modified>
</cp:coreProperties>
</file>

<file path=customXml/itemProps1.xml><?xml version="1.0" encoding="utf-8"?>
<ds:datastoreItem xmlns:ds="http://schemas.openxmlformats.org/officeDocument/2006/customXml" ds:itemID="{63126F74-8883-4459-9A60-D2CD79BEC118}">
  <ds:schemaRefs/>
</ds:datastoreItem>
</file>

<file path=customXml/itemProps10.xml><?xml version="1.0" encoding="utf-8"?>
<ds:datastoreItem xmlns:ds="http://schemas.openxmlformats.org/officeDocument/2006/customXml" ds:itemID="{86ED7D4A-EC70-4D0E-8118-993E17004387}">
  <ds:schemaRefs/>
</ds:datastoreItem>
</file>

<file path=customXml/itemProps11.xml><?xml version="1.0" encoding="utf-8"?>
<ds:datastoreItem xmlns:ds="http://schemas.openxmlformats.org/officeDocument/2006/customXml" ds:itemID="{59054043-84B3-411F-AAA0-90FED0A950F0}">
  <ds:schemaRefs/>
</ds:datastoreItem>
</file>

<file path=customXml/itemProps12.xml><?xml version="1.0" encoding="utf-8"?>
<ds:datastoreItem xmlns:ds="http://schemas.openxmlformats.org/officeDocument/2006/customXml" ds:itemID="{DD7EB23A-267D-41E2-8973-BACBCD6125DC}">
  <ds:schemaRefs/>
</ds:datastoreItem>
</file>

<file path=customXml/itemProps13.xml><?xml version="1.0" encoding="utf-8"?>
<ds:datastoreItem xmlns:ds="http://schemas.openxmlformats.org/officeDocument/2006/customXml" ds:itemID="{97B180B4-C493-4E65-8E39-253B177EFE0C}">
  <ds:schemaRefs/>
</ds:datastoreItem>
</file>

<file path=customXml/itemProps14.xml><?xml version="1.0" encoding="utf-8"?>
<ds:datastoreItem xmlns:ds="http://schemas.openxmlformats.org/officeDocument/2006/customXml" ds:itemID="{485E0502-A54F-46A4-AEB1-3AD41108AA2C}">
  <ds:schemaRefs/>
</ds:datastoreItem>
</file>

<file path=customXml/itemProps15.xml><?xml version="1.0" encoding="utf-8"?>
<ds:datastoreItem xmlns:ds="http://schemas.openxmlformats.org/officeDocument/2006/customXml" ds:itemID="{A46AA256-629A-4B6B-AC22-1313C24BD8CC}">
  <ds:schemaRefs/>
</ds:datastoreItem>
</file>

<file path=customXml/itemProps16.xml><?xml version="1.0" encoding="utf-8"?>
<ds:datastoreItem xmlns:ds="http://schemas.openxmlformats.org/officeDocument/2006/customXml" ds:itemID="{512A5FAD-8A37-4CFF-8267-15D1C32676C8}">
  <ds:schemaRefs/>
</ds:datastoreItem>
</file>

<file path=customXml/itemProps17.xml><?xml version="1.0" encoding="utf-8"?>
<ds:datastoreItem xmlns:ds="http://schemas.openxmlformats.org/officeDocument/2006/customXml" ds:itemID="{47CB59F4-5998-4565-A388-3044AE2339AB}">
  <ds:schemaRefs/>
</ds:datastoreItem>
</file>

<file path=customXml/itemProps18.xml><?xml version="1.0" encoding="utf-8"?>
<ds:datastoreItem xmlns:ds="http://schemas.openxmlformats.org/officeDocument/2006/customXml" ds:itemID="{7E3D3A55-DB3E-4706-ADC4-9CB6BACEF0FB}">
  <ds:schemaRefs/>
</ds:datastoreItem>
</file>

<file path=customXml/itemProps19.xml><?xml version="1.0" encoding="utf-8"?>
<ds:datastoreItem xmlns:ds="http://schemas.openxmlformats.org/officeDocument/2006/customXml" ds:itemID="{53EB27F7-DB8B-4749-8910-CCD2F46D2705}">
  <ds:schemaRefs/>
</ds:datastoreItem>
</file>

<file path=customXml/itemProps2.xml><?xml version="1.0" encoding="utf-8"?>
<ds:datastoreItem xmlns:ds="http://schemas.openxmlformats.org/officeDocument/2006/customXml" ds:itemID="{9A0ED4E1-C5D4-42B1-925E-F276D5766809}">
  <ds:schemaRefs/>
</ds:datastoreItem>
</file>

<file path=customXml/itemProps20.xml><?xml version="1.0" encoding="utf-8"?>
<ds:datastoreItem xmlns:ds="http://schemas.openxmlformats.org/officeDocument/2006/customXml" ds:itemID="{F29501B8-14E7-413E-9D31-7FD1E27BA056}">
  <ds:schemaRefs/>
</ds:datastoreItem>
</file>

<file path=customXml/itemProps21.xml><?xml version="1.0" encoding="utf-8"?>
<ds:datastoreItem xmlns:ds="http://schemas.openxmlformats.org/officeDocument/2006/customXml" ds:itemID="{CA889EAE-8038-4477-822C-FB9B006237BF}">
  <ds:schemaRefs/>
</ds:datastoreItem>
</file>

<file path=customXml/itemProps22.xml><?xml version="1.0" encoding="utf-8"?>
<ds:datastoreItem xmlns:ds="http://schemas.openxmlformats.org/officeDocument/2006/customXml" ds:itemID="{7DD31C54-4562-40F7-9063-B813CCDCF155}">
  <ds:schemaRefs/>
</ds:datastoreItem>
</file>

<file path=customXml/itemProps23.xml><?xml version="1.0" encoding="utf-8"?>
<ds:datastoreItem xmlns:ds="http://schemas.openxmlformats.org/officeDocument/2006/customXml" ds:itemID="{99E3B501-7EB0-4826-89A8-85EFF5C8B605}">
  <ds:schemaRefs/>
</ds:datastoreItem>
</file>

<file path=customXml/itemProps24.xml><?xml version="1.0" encoding="utf-8"?>
<ds:datastoreItem xmlns:ds="http://schemas.openxmlformats.org/officeDocument/2006/customXml" ds:itemID="{D22A27B9-3F87-46E8-85BA-9D50516364D6}">
  <ds:schemaRefs/>
</ds:datastoreItem>
</file>

<file path=customXml/itemProps25.xml><?xml version="1.0" encoding="utf-8"?>
<ds:datastoreItem xmlns:ds="http://schemas.openxmlformats.org/officeDocument/2006/customXml" ds:itemID="{AA7D4432-2877-483C-9A1B-E8C54445FDA6}">
  <ds:schemaRefs/>
</ds:datastoreItem>
</file>

<file path=customXml/itemProps26.xml><?xml version="1.0" encoding="utf-8"?>
<ds:datastoreItem xmlns:ds="http://schemas.openxmlformats.org/officeDocument/2006/customXml" ds:itemID="{E455E6AA-91D5-4AF3-9CCE-3627B32F890B}">
  <ds:schemaRefs/>
</ds:datastoreItem>
</file>

<file path=customXml/itemProps27.xml><?xml version="1.0" encoding="utf-8"?>
<ds:datastoreItem xmlns:ds="http://schemas.openxmlformats.org/officeDocument/2006/customXml" ds:itemID="{72E287CA-AFB6-4FB1-BB74-CF6075F31432}">
  <ds:schemaRefs/>
</ds:datastoreItem>
</file>

<file path=customXml/itemProps28.xml><?xml version="1.0" encoding="utf-8"?>
<ds:datastoreItem xmlns:ds="http://schemas.openxmlformats.org/officeDocument/2006/customXml" ds:itemID="{5F1CC824-9C43-44AA-8765-387070774925}">
  <ds:schemaRefs/>
</ds:datastoreItem>
</file>

<file path=customXml/itemProps29.xml><?xml version="1.0" encoding="utf-8"?>
<ds:datastoreItem xmlns:ds="http://schemas.openxmlformats.org/officeDocument/2006/customXml" ds:itemID="{3149EE87-B9FC-4E9B-93AB-F3F3A8B367EC}">
  <ds:schemaRefs/>
</ds:datastoreItem>
</file>

<file path=customXml/itemProps3.xml><?xml version="1.0" encoding="utf-8"?>
<ds:datastoreItem xmlns:ds="http://schemas.openxmlformats.org/officeDocument/2006/customXml" ds:itemID="{BD111FA3-D4DA-40F8-A9C0-C5F9B51BE894}">
  <ds:schemaRefs/>
</ds:datastoreItem>
</file>

<file path=customXml/itemProps30.xml><?xml version="1.0" encoding="utf-8"?>
<ds:datastoreItem xmlns:ds="http://schemas.openxmlformats.org/officeDocument/2006/customXml" ds:itemID="{824A7D77-AF32-419A-8655-DB0E35E17BBF}">
  <ds:schemaRefs/>
</ds:datastoreItem>
</file>

<file path=customXml/itemProps31.xml><?xml version="1.0" encoding="utf-8"?>
<ds:datastoreItem xmlns:ds="http://schemas.openxmlformats.org/officeDocument/2006/customXml" ds:itemID="{197EDB4A-7E86-4832-A28C-60FBACA5532C}">
  <ds:schemaRefs/>
</ds:datastoreItem>
</file>

<file path=customXml/itemProps32.xml><?xml version="1.0" encoding="utf-8"?>
<ds:datastoreItem xmlns:ds="http://schemas.openxmlformats.org/officeDocument/2006/customXml" ds:itemID="{67A594ED-65A2-4A26-86EE-DEA5DB2EC68B}">
  <ds:schemaRefs/>
</ds:datastoreItem>
</file>

<file path=customXml/itemProps33.xml><?xml version="1.0" encoding="utf-8"?>
<ds:datastoreItem xmlns:ds="http://schemas.openxmlformats.org/officeDocument/2006/customXml" ds:itemID="{42E3CD23-B021-47C0-A035-79736A3E0345}">
  <ds:schemaRefs/>
</ds:datastoreItem>
</file>

<file path=customXml/itemProps34.xml><?xml version="1.0" encoding="utf-8"?>
<ds:datastoreItem xmlns:ds="http://schemas.openxmlformats.org/officeDocument/2006/customXml" ds:itemID="{5BA82B6D-1C1B-4622-BEA9-6F11E7C333C6}">
  <ds:schemaRefs/>
</ds:datastoreItem>
</file>

<file path=customXml/itemProps35.xml><?xml version="1.0" encoding="utf-8"?>
<ds:datastoreItem xmlns:ds="http://schemas.openxmlformats.org/officeDocument/2006/customXml" ds:itemID="{FCAAA7A0-D866-4243-BC96-E82D851162A5}">
  <ds:schemaRefs/>
</ds:datastoreItem>
</file>

<file path=customXml/itemProps36.xml><?xml version="1.0" encoding="utf-8"?>
<ds:datastoreItem xmlns:ds="http://schemas.openxmlformats.org/officeDocument/2006/customXml" ds:itemID="{FBD8174D-B1DC-4A6E-9EA9-D529B08E993F}">
  <ds:schemaRefs/>
</ds:datastoreItem>
</file>

<file path=customXml/itemProps37.xml><?xml version="1.0" encoding="utf-8"?>
<ds:datastoreItem xmlns:ds="http://schemas.openxmlformats.org/officeDocument/2006/customXml" ds:itemID="{2AD0B080-698D-4760-B15A-98F91FD31CF4}">
  <ds:schemaRefs/>
</ds:datastoreItem>
</file>

<file path=customXml/itemProps38.xml><?xml version="1.0" encoding="utf-8"?>
<ds:datastoreItem xmlns:ds="http://schemas.openxmlformats.org/officeDocument/2006/customXml" ds:itemID="{760EDFDA-48A5-42C8-B23E-A45020FAEB96}">
  <ds:schemaRefs/>
</ds:datastoreItem>
</file>

<file path=customXml/itemProps4.xml><?xml version="1.0" encoding="utf-8"?>
<ds:datastoreItem xmlns:ds="http://schemas.openxmlformats.org/officeDocument/2006/customXml" ds:itemID="{BBE3D25A-27F8-4BA9-BD23-2ED58AADCC41}">
  <ds:schemaRefs/>
</ds:datastoreItem>
</file>

<file path=customXml/itemProps5.xml><?xml version="1.0" encoding="utf-8"?>
<ds:datastoreItem xmlns:ds="http://schemas.openxmlformats.org/officeDocument/2006/customXml" ds:itemID="{B45D1141-645C-4604-992C-9530CEC9EA07}">
  <ds:schemaRefs/>
</ds:datastoreItem>
</file>

<file path=customXml/itemProps6.xml><?xml version="1.0" encoding="utf-8"?>
<ds:datastoreItem xmlns:ds="http://schemas.openxmlformats.org/officeDocument/2006/customXml" ds:itemID="{2F972E3A-F613-415C-A909-B960D8552961}">
  <ds:schemaRefs/>
</ds:datastoreItem>
</file>

<file path=customXml/itemProps7.xml><?xml version="1.0" encoding="utf-8"?>
<ds:datastoreItem xmlns:ds="http://schemas.openxmlformats.org/officeDocument/2006/customXml" ds:itemID="{A8076596-BC35-4AC9-AE50-E4B3D0FF44E4}">
  <ds:schemaRefs/>
</ds:datastoreItem>
</file>

<file path=customXml/itemProps8.xml><?xml version="1.0" encoding="utf-8"?>
<ds:datastoreItem xmlns:ds="http://schemas.openxmlformats.org/officeDocument/2006/customXml" ds:itemID="{42208CBB-D74D-44E9-BBF0-003985F07EC2}">
  <ds:schemaRefs/>
</ds:datastoreItem>
</file>

<file path=customXml/itemProps9.xml><?xml version="1.0" encoding="utf-8"?>
<ds:datastoreItem xmlns:ds="http://schemas.openxmlformats.org/officeDocument/2006/customXml" ds:itemID="{E9A107DE-7485-415D-8F8B-BEF58BFE1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2223</Words>
  <Characters>12674</Characters>
  <Lines>105</Lines>
  <Paragraphs>29</Paragraphs>
  <TotalTime>2</TotalTime>
  <ScaleCrop>false</ScaleCrop>
  <LinksUpToDate>false</LinksUpToDate>
  <CharactersWithSpaces>14868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2024-02-08T07:03:00Z</dcterms:created>
  <dc:creator>Administrator</dc:creator>
  <cp:lastModifiedBy>Lucky</cp:lastModifiedBy>
  <dcterms:modified xsi:type="dcterms:W3CDTF">2024-02-20T07:30:49Z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7A8F8A19A7C546538DF81C28F129CCAB_13</vt:lpwstr>
  </property>
</Properties>
</file>