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5" w:lineRule="auto"/>
        <w:rPr>
          <w:rFonts w:ascii="Arial"/>
          <w:sz w:val="21"/>
        </w:rPr>
      </w:pPr>
    </w:p>
    <w:p>
      <w:pPr>
        <w:spacing w:before="139" w:line="235" w:lineRule="auto"/>
        <w:ind w:left="4922" w:right="3630" w:hanging="1044"/>
        <w:outlineLvl w:val="0"/>
        <w:rPr>
          <w:rFonts w:ascii="黑体" w:hAnsi="黑体" w:eastAsia="黑体" w:cs="黑体"/>
          <w:sz w:val="43"/>
          <w:szCs w:val="43"/>
        </w:rPr>
      </w:pPr>
      <w:r>
        <w:rPr>
          <w:rFonts w:ascii="黑体" w:hAnsi="黑体" w:eastAsia="黑体" w:cs="黑体"/>
          <w:b/>
          <w:bCs/>
          <w:spacing w:val="6"/>
          <w:sz w:val="43"/>
          <w:szCs w:val="43"/>
        </w:rPr>
        <w:t>承德市商务局劳动就业指导服务中心</w:t>
      </w:r>
      <w:r>
        <w:rPr>
          <w:rFonts w:ascii="黑体" w:hAnsi="黑体" w:eastAsia="黑体" w:cs="黑体"/>
          <w:sz w:val="43"/>
          <w:szCs w:val="43"/>
        </w:rPr>
        <w:t xml:space="preserve"> </w:t>
      </w:r>
      <w:r>
        <w:rPr>
          <w:rFonts w:ascii="黑体" w:hAnsi="黑体" w:eastAsia="黑体" w:cs="黑体"/>
          <w:b/>
          <w:bCs/>
          <w:spacing w:val="2"/>
          <w:sz w:val="43"/>
          <w:szCs w:val="43"/>
        </w:rPr>
        <w:t>202</w:t>
      </w:r>
      <w:r>
        <w:rPr>
          <w:rFonts w:hint="eastAsia" w:ascii="黑体" w:hAnsi="黑体" w:eastAsia="黑体" w:cs="黑体"/>
          <w:b/>
          <w:bCs/>
          <w:spacing w:val="2"/>
          <w:sz w:val="43"/>
          <w:szCs w:val="43"/>
          <w:lang w:val="en-US" w:eastAsia="zh-CN"/>
        </w:rPr>
        <w:t>4</w:t>
      </w:r>
      <w:r>
        <w:rPr>
          <w:rFonts w:ascii="黑体" w:hAnsi="黑体" w:eastAsia="黑体" w:cs="黑体"/>
          <w:spacing w:val="-77"/>
          <w:sz w:val="43"/>
          <w:szCs w:val="43"/>
        </w:rPr>
        <w:t xml:space="preserve"> </w:t>
      </w:r>
      <w:r>
        <w:rPr>
          <w:rFonts w:ascii="黑体" w:hAnsi="黑体" w:eastAsia="黑体" w:cs="黑体"/>
          <w:b/>
          <w:bCs/>
          <w:spacing w:val="2"/>
          <w:sz w:val="43"/>
          <w:szCs w:val="43"/>
        </w:rPr>
        <w:t>年预算信息公开目录</w:t>
      </w:r>
    </w:p>
    <w:p>
      <w:pPr>
        <w:pStyle w:val="2"/>
        <w:spacing w:before="348" w:line="183" w:lineRule="auto"/>
      </w:pPr>
      <w:r>
        <w:rPr>
          <w:rFonts w:hint="eastAsia"/>
          <w:b/>
          <w:bCs/>
          <w:spacing w:val="-1"/>
          <w:lang w:eastAsia="zh-CN"/>
        </w:rPr>
        <w:t>单位</w:t>
      </w:r>
      <w:r>
        <w:rPr>
          <w:b/>
          <w:bCs/>
          <w:spacing w:val="-1"/>
        </w:rPr>
        <w:t>预算公开表</w:t>
      </w:r>
    </w:p>
    <w:sdt>
      <w:sdtPr>
        <w:rPr>
          <w:rFonts w:ascii="微软雅黑" w:hAnsi="微软雅黑" w:eastAsia="微软雅黑" w:cs="微软雅黑"/>
          <w:sz w:val="28"/>
          <w:szCs w:val="28"/>
        </w:rPr>
        <w:id w:val="5"/>
        <w:docPartObj>
          <w:docPartGallery w:val="Table of Contents"/>
          <w:docPartUnique/>
        </w:docPartObj>
      </w:sdtPr>
      <w:sdtEndPr>
        <w:rPr>
          <w:rFonts w:ascii="Times New Roman" w:hAnsi="Times New Roman" w:eastAsia="Times New Roman" w:cs="Times New Roman"/>
          <w:sz w:val="28"/>
          <w:szCs w:val="28"/>
        </w:rPr>
      </w:sdtEndPr>
      <w:sdtContent>
        <w:p>
          <w:pPr>
            <w:pStyle w:val="2"/>
            <w:tabs>
              <w:tab w:val="right" w:leader="dot" w:pos="14558"/>
            </w:tabs>
            <w:spacing w:before="231" w:line="184" w:lineRule="auto"/>
            <w:ind w:left="561"/>
            <w:rPr>
              <w:rFonts w:hint="eastAsia" w:ascii="Times New Roman" w:hAnsi="Times New Roman" w:eastAsia="微软雅黑" w:cs="Times New Roman"/>
              <w:lang w:eastAsia="zh-CN"/>
            </w:rPr>
          </w:pPr>
          <w:r>
            <w:rPr>
              <w:rFonts w:hint="eastAsia" w:cs="微软雅黑"/>
              <w:sz w:val="28"/>
              <w:szCs w:val="28"/>
              <w:lang w:val="en-US" w:eastAsia="zh-CN"/>
            </w:rPr>
            <w:t>1、</w:t>
          </w:r>
          <w:r>
            <w:rPr>
              <w:spacing w:val="-1"/>
            </w:rPr>
            <w:t>单位预算收支总表</w:t>
          </w:r>
          <w:r>
            <w:rPr>
              <w:spacing w:val="-27"/>
            </w:rPr>
            <w:t xml:space="preserve"> </w:t>
          </w:r>
          <w:r>
            <w:tab/>
          </w:r>
          <w:r>
            <w:rPr>
              <w:rFonts w:hint="eastAsia"/>
              <w:spacing w:val="-14"/>
              <w:lang w:val="en-US" w:eastAsia="zh-CN"/>
            </w:rPr>
            <w:t>3</w:t>
          </w:r>
        </w:p>
        <w:p>
          <w:pPr>
            <w:pStyle w:val="2"/>
            <w:tabs>
              <w:tab w:val="right" w:leader="dot" w:pos="14558"/>
            </w:tabs>
            <w:spacing w:before="234" w:line="184" w:lineRule="auto"/>
            <w:ind w:left="561"/>
            <w:rPr>
              <w:rFonts w:hint="eastAsia" w:ascii="Times New Roman" w:hAnsi="Times New Roman" w:eastAsia="微软雅黑" w:cs="Times New Roman"/>
              <w:lang w:eastAsia="zh-CN"/>
            </w:rPr>
          </w:pPr>
          <w:r>
            <w:rPr>
              <w:rFonts w:hint="eastAsia"/>
              <w:spacing w:val="-1"/>
              <w:lang w:val="en-US" w:eastAsia="zh-CN"/>
            </w:rPr>
            <w:t>2、</w:t>
          </w:r>
          <w:r>
            <w:rPr>
              <w:spacing w:val="-1"/>
            </w:rPr>
            <w:t>单位预算收入总表</w:t>
          </w:r>
          <w:r>
            <w:rPr>
              <w:spacing w:val="-27"/>
            </w:rPr>
            <w:t xml:space="preserve"> </w:t>
          </w:r>
          <w:r>
            <w:tab/>
          </w:r>
          <w:r>
            <w:rPr>
              <w:spacing w:val="-8"/>
            </w:rPr>
            <w:t xml:space="preserve"> </w:t>
          </w:r>
          <w:r>
            <w:rPr>
              <w:rFonts w:hint="eastAsia"/>
              <w:lang w:val="en-US" w:eastAsia="zh-CN"/>
            </w:rPr>
            <w:t>5</w:t>
          </w:r>
        </w:p>
        <w:p>
          <w:pPr>
            <w:pStyle w:val="2"/>
            <w:tabs>
              <w:tab w:val="right" w:leader="dot" w:pos="14558"/>
            </w:tabs>
            <w:spacing w:before="231" w:line="184" w:lineRule="auto"/>
            <w:ind w:left="561"/>
            <w:rPr>
              <w:rFonts w:hint="default" w:ascii="Times New Roman" w:hAnsi="Times New Roman" w:eastAsia="微软雅黑" w:cs="Times New Roman"/>
              <w:lang w:val="en-US" w:eastAsia="zh-CN"/>
            </w:rPr>
          </w:pPr>
          <w:r>
            <w:rPr>
              <w:rFonts w:hint="eastAsia"/>
              <w:spacing w:val="-1"/>
              <w:lang w:val="en-US" w:eastAsia="zh-CN"/>
            </w:rPr>
            <w:t>3、</w:t>
          </w:r>
          <w:r>
            <w:rPr>
              <w:spacing w:val="-1"/>
            </w:rPr>
            <w:t>单位预算支出总表</w:t>
          </w:r>
          <w:r>
            <w:rPr>
              <w:spacing w:val="-27"/>
            </w:rPr>
            <w:t xml:space="preserve"> </w:t>
          </w:r>
          <w:r>
            <w:tab/>
          </w:r>
          <w:r>
            <w:rPr>
              <w:spacing w:val="-10"/>
            </w:rPr>
            <w:t xml:space="preserve"> </w:t>
          </w:r>
          <w:r>
            <w:rPr>
              <w:rFonts w:hint="eastAsia"/>
              <w:lang w:val="en-US" w:eastAsia="zh-CN"/>
            </w:rPr>
            <w:t>6</w:t>
          </w:r>
        </w:p>
        <w:p>
          <w:pPr>
            <w:pStyle w:val="2"/>
            <w:tabs>
              <w:tab w:val="right" w:leader="dot" w:pos="14558"/>
            </w:tabs>
            <w:spacing w:before="232" w:line="184" w:lineRule="auto"/>
            <w:ind w:left="561"/>
            <w:rPr>
              <w:rFonts w:hint="eastAsia" w:ascii="Times New Roman" w:hAnsi="Times New Roman" w:eastAsia="微软雅黑" w:cs="Times New Roman"/>
              <w:lang w:eastAsia="zh-CN"/>
            </w:rPr>
          </w:pPr>
          <w:r>
            <w:rPr>
              <w:rFonts w:hint="eastAsia"/>
              <w:spacing w:val="-1"/>
              <w:lang w:val="en-US" w:eastAsia="zh-CN"/>
            </w:rPr>
            <w:t>4、</w:t>
          </w:r>
          <w:r>
            <w:rPr>
              <w:spacing w:val="-1"/>
            </w:rPr>
            <w:t>单位预算财政拨款收支总表</w:t>
          </w:r>
          <w:r>
            <w:rPr>
              <w:spacing w:val="-24"/>
            </w:rPr>
            <w:t xml:space="preserve"> </w:t>
          </w:r>
          <w:r>
            <w:tab/>
          </w:r>
          <w:r>
            <w:rPr>
              <w:spacing w:val="-17"/>
            </w:rPr>
            <w:t xml:space="preserve"> </w:t>
          </w:r>
          <w:r>
            <w:rPr>
              <w:rFonts w:hint="eastAsia"/>
              <w:lang w:val="en-US" w:eastAsia="zh-CN"/>
            </w:rPr>
            <w:t>7</w:t>
          </w:r>
        </w:p>
        <w:p>
          <w:pPr>
            <w:pStyle w:val="2"/>
            <w:tabs>
              <w:tab w:val="right" w:leader="dot" w:pos="14558"/>
            </w:tabs>
            <w:spacing w:before="232" w:line="184" w:lineRule="auto"/>
            <w:ind w:left="561"/>
            <w:rPr>
              <w:rFonts w:hint="eastAsia" w:ascii="Times New Roman" w:hAnsi="Times New Roman" w:eastAsia="微软雅黑" w:cs="Times New Roman"/>
              <w:lang w:eastAsia="zh-CN"/>
            </w:rPr>
          </w:pPr>
          <w:r>
            <w:rPr>
              <w:rFonts w:hint="eastAsia"/>
              <w:spacing w:val="-1"/>
              <w:lang w:val="en-US" w:eastAsia="zh-CN"/>
            </w:rPr>
            <w:t>5、</w:t>
          </w:r>
          <w:r>
            <w:rPr>
              <w:spacing w:val="-1"/>
            </w:rPr>
            <w:t>单位预算一般公共预算财政拨款支出表</w:t>
          </w:r>
          <w:r>
            <w:rPr>
              <w:spacing w:val="-18"/>
            </w:rPr>
            <w:t xml:space="preserve"> </w:t>
          </w:r>
          <w:r>
            <w:tab/>
          </w:r>
          <w:r>
            <w:rPr>
              <w:spacing w:val="-24"/>
            </w:rPr>
            <w:t xml:space="preserve"> </w:t>
          </w:r>
          <w:r>
            <w:rPr>
              <w:rFonts w:hint="eastAsia"/>
              <w:lang w:val="en-US" w:eastAsia="zh-CN"/>
            </w:rPr>
            <w:t>9</w:t>
          </w:r>
        </w:p>
        <w:p>
          <w:pPr>
            <w:pStyle w:val="2"/>
            <w:tabs>
              <w:tab w:val="right" w:leader="dot" w:pos="14558"/>
            </w:tabs>
            <w:spacing w:before="231" w:line="184" w:lineRule="auto"/>
            <w:ind w:left="561"/>
            <w:rPr>
              <w:rFonts w:hint="default" w:ascii="Times New Roman" w:hAnsi="Times New Roman" w:eastAsia="微软雅黑" w:cs="Times New Roman"/>
              <w:lang w:val="en-US" w:eastAsia="zh-CN"/>
            </w:rPr>
          </w:pPr>
          <w:r>
            <w:rPr>
              <w:rFonts w:hint="eastAsia"/>
              <w:spacing w:val="-1"/>
              <w:lang w:val="en-US" w:eastAsia="zh-CN"/>
            </w:rPr>
            <w:t>6、</w:t>
          </w:r>
          <w:r>
            <w:rPr>
              <w:spacing w:val="-1"/>
            </w:rPr>
            <w:t>单位预算一般公共预算财政拨款基本支出表</w:t>
          </w:r>
          <w:r>
            <w:rPr>
              <w:spacing w:val="-17"/>
            </w:rPr>
            <w:t xml:space="preserve"> </w:t>
          </w:r>
          <w:r>
            <w:tab/>
          </w:r>
          <w:r>
            <w:rPr>
              <w:spacing w:val="-31"/>
            </w:rPr>
            <w:t xml:space="preserve"> </w:t>
          </w:r>
          <w:r>
            <w:rPr>
              <w:rFonts w:hint="eastAsia"/>
              <w:lang w:val="en-US" w:eastAsia="zh-CN"/>
            </w:rPr>
            <w:t>10</w:t>
          </w:r>
        </w:p>
        <w:p>
          <w:pPr>
            <w:pStyle w:val="2"/>
            <w:tabs>
              <w:tab w:val="right" w:leader="dot" w:pos="14558"/>
            </w:tabs>
            <w:spacing w:before="232" w:line="184" w:lineRule="auto"/>
            <w:ind w:left="561"/>
            <w:rPr>
              <w:rFonts w:hint="default" w:ascii="Times New Roman" w:hAnsi="Times New Roman" w:eastAsia="微软雅黑" w:cs="Times New Roman"/>
              <w:lang w:val="en-US" w:eastAsia="zh-CN"/>
            </w:rPr>
          </w:pPr>
          <w:r>
            <w:rPr>
              <w:rFonts w:hint="eastAsia"/>
              <w:spacing w:val="-1"/>
              <w:lang w:val="en-US" w:eastAsia="zh-CN"/>
            </w:rPr>
            <w:t>7、</w:t>
          </w:r>
          <w:r>
            <w:rPr>
              <w:spacing w:val="-1"/>
            </w:rPr>
            <w:t>单位预算政府基金预算财政拨款支出表</w:t>
          </w:r>
          <w:r>
            <w:rPr>
              <w:spacing w:val="-18"/>
            </w:rPr>
            <w:t xml:space="preserve"> </w:t>
          </w:r>
          <w:r>
            <w:tab/>
          </w:r>
          <w:r>
            <w:rPr>
              <w:spacing w:val="-24"/>
            </w:rPr>
            <w:t xml:space="preserve"> </w:t>
          </w:r>
          <w:r>
            <w:rPr>
              <w:rFonts w:hint="eastAsia"/>
              <w:lang w:val="en-US" w:eastAsia="zh-CN"/>
            </w:rPr>
            <w:t>11</w:t>
          </w:r>
        </w:p>
        <w:p>
          <w:pPr>
            <w:pStyle w:val="2"/>
            <w:tabs>
              <w:tab w:val="right" w:leader="dot" w:pos="14558"/>
            </w:tabs>
            <w:spacing w:before="232" w:line="184" w:lineRule="auto"/>
            <w:ind w:left="561"/>
            <w:rPr>
              <w:rFonts w:hint="default" w:ascii="Times New Roman" w:hAnsi="Times New Roman" w:eastAsia="微软雅黑" w:cs="Times New Roman"/>
              <w:lang w:val="en-US" w:eastAsia="zh-CN"/>
            </w:rPr>
          </w:pPr>
          <w:r>
            <w:rPr>
              <w:rFonts w:hint="eastAsia"/>
              <w:spacing w:val="-1"/>
              <w:lang w:val="en-US" w:eastAsia="zh-CN"/>
            </w:rPr>
            <w:t>8、</w:t>
          </w:r>
          <w:r>
            <w:rPr>
              <w:spacing w:val="-1"/>
            </w:rPr>
            <w:t>单位预算国有资本经营预算财政拨款支出表</w:t>
          </w:r>
          <w:r>
            <w:rPr>
              <w:spacing w:val="-17"/>
            </w:rPr>
            <w:t xml:space="preserve"> </w:t>
          </w:r>
          <w:r>
            <w:tab/>
          </w:r>
          <w:r>
            <w:rPr>
              <w:rFonts w:hint="eastAsia"/>
              <w:spacing w:val="-31"/>
              <w:lang w:val="en-US" w:eastAsia="zh-CN"/>
            </w:rPr>
            <w:t>12</w:t>
          </w:r>
        </w:p>
        <w:p>
          <w:pPr>
            <w:pStyle w:val="2"/>
            <w:tabs>
              <w:tab w:val="right" w:leader="dot" w:pos="14558"/>
            </w:tabs>
            <w:spacing w:before="234" w:line="184" w:lineRule="auto"/>
            <w:ind w:left="561"/>
            <w:rPr>
              <w:rFonts w:ascii="Times New Roman" w:hAnsi="Times New Roman" w:eastAsia="Times New Roman" w:cs="Times New Roman"/>
            </w:rPr>
          </w:pPr>
          <w:r>
            <w:rPr>
              <w:rFonts w:hint="eastAsia"/>
              <w:spacing w:val="-1"/>
              <w:lang w:val="en-US" w:eastAsia="zh-CN"/>
            </w:rPr>
            <w:t>9、</w:t>
          </w:r>
          <w:r>
            <w:rPr>
              <w:spacing w:val="-1"/>
            </w:rPr>
            <w:t>单位预算财政拨款</w:t>
          </w:r>
          <w:r>
            <w:rPr>
              <w:rFonts w:ascii="Times New Roman" w:hAnsi="Times New Roman" w:eastAsia="Times New Roman" w:cs="Times New Roman"/>
              <w:spacing w:val="-1"/>
            </w:rPr>
            <w:t>“</w:t>
          </w:r>
          <w:r>
            <w:rPr>
              <w:spacing w:val="-1"/>
            </w:rPr>
            <w:t>三公</w:t>
          </w:r>
          <w:r>
            <w:rPr>
              <w:rFonts w:ascii="Times New Roman" w:hAnsi="Times New Roman" w:eastAsia="Times New Roman" w:cs="Times New Roman"/>
              <w:spacing w:val="-1"/>
            </w:rPr>
            <w:t>”</w:t>
          </w:r>
          <w:r>
            <w:rPr>
              <w:spacing w:val="-1"/>
            </w:rPr>
            <w:t>经费支出表</w:t>
          </w:r>
          <w:r>
            <w:rPr>
              <w:spacing w:val="-18"/>
            </w:rPr>
            <w:t xml:space="preserve"> </w:t>
          </w:r>
          <w:r>
            <w:tab/>
          </w:r>
          <w:r>
            <w:rPr>
              <w:spacing w:val="12"/>
            </w:rPr>
            <w:t xml:space="preserve"> </w:t>
          </w:r>
          <w:r>
            <w:rPr>
              <w:rFonts w:hint="eastAsia"/>
              <w:lang w:val="en-US" w:eastAsia="zh-CN"/>
            </w:rPr>
            <w:t>13</w:t>
          </w:r>
        </w:p>
      </w:sdtContent>
    </w:sdt>
    <w:p>
      <w:pPr>
        <w:spacing w:line="246" w:lineRule="auto"/>
        <w:rPr>
          <w:rFonts w:ascii="Arial"/>
          <w:sz w:val="21"/>
        </w:rPr>
      </w:pPr>
    </w:p>
    <w:sdt>
      <w:sdtPr>
        <w:rPr>
          <w:rFonts w:ascii="微软雅黑" w:hAnsi="微软雅黑" w:eastAsia="微软雅黑" w:cs="微软雅黑"/>
          <w:sz w:val="28"/>
          <w:szCs w:val="28"/>
        </w:rPr>
        <w:id w:val="6"/>
        <w:docPartObj>
          <w:docPartGallery w:val="Table of Contents"/>
          <w:docPartUnique/>
        </w:docPartObj>
      </w:sdtPr>
      <w:sdtEndPr>
        <w:rPr>
          <w:rFonts w:ascii="Times New Roman" w:hAnsi="Times New Roman" w:eastAsia="Times New Roman" w:cs="Times New Roman"/>
          <w:sz w:val="28"/>
          <w:szCs w:val="28"/>
        </w:rPr>
      </w:sdtEndPr>
      <w:sdtContent>
        <w:p>
          <w:pPr>
            <w:pStyle w:val="2"/>
            <w:spacing w:before="120" w:line="183" w:lineRule="auto"/>
          </w:pPr>
          <w:r>
            <w:rPr>
              <w:rFonts w:hint="eastAsia"/>
              <w:b/>
              <w:bCs/>
              <w:spacing w:val="-1"/>
              <w:lang w:eastAsia="zh-CN"/>
            </w:rPr>
            <w:t>单位</w:t>
          </w:r>
          <w:r>
            <w:rPr>
              <w:b/>
              <w:bCs/>
              <w:spacing w:val="-1"/>
            </w:rPr>
            <w:t>预算信息公开情况说明</w:t>
          </w:r>
        </w:p>
        <w:p>
          <w:pPr>
            <w:pStyle w:val="2"/>
            <w:tabs>
              <w:tab w:val="right" w:leader="dot" w:pos="14558"/>
            </w:tabs>
            <w:spacing w:before="234" w:line="184" w:lineRule="auto"/>
            <w:ind w:left="560"/>
            <w:rPr>
              <w:rFonts w:hint="default" w:ascii="Times New Roman" w:hAnsi="Times New Roman" w:eastAsia="微软雅黑" w:cs="Times New Roman"/>
              <w:lang w:val="en-US" w:eastAsia="zh-CN"/>
            </w:rPr>
          </w:pPr>
          <w:r>
            <w:rPr>
              <w:rFonts w:hint="eastAsia"/>
              <w:spacing w:val="-1"/>
              <w:lang w:val="en-US" w:eastAsia="zh-CN"/>
            </w:rPr>
            <w:t>1、</w:t>
          </w:r>
          <w:r>
            <w:rPr>
              <w:spacing w:val="-1"/>
            </w:rPr>
            <w:t>单位职责及机构设置情况</w:t>
          </w:r>
          <w:r>
            <w:rPr>
              <w:spacing w:val="-21"/>
            </w:rPr>
            <w:t xml:space="preserve"> </w:t>
          </w:r>
          <w:r>
            <w:tab/>
          </w:r>
          <w:r>
            <w:rPr>
              <w:spacing w:val="-7"/>
            </w:rPr>
            <w:t xml:space="preserve"> </w:t>
          </w:r>
          <w:r>
            <w:rPr>
              <w:rFonts w:hint="eastAsia"/>
              <w:lang w:val="en-US" w:eastAsia="zh-CN"/>
            </w:rPr>
            <w:t>14</w:t>
          </w:r>
        </w:p>
        <w:p>
          <w:pPr>
            <w:pStyle w:val="2"/>
            <w:tabs>
              <w:tab w:val="right" w:leader="dot" w:pos="14558"/>
            </w:tabs>
            <w:spacing w:before="232" w:line="184" w:lineRule="auto"/>
            <w:ind w:left="563"/>
            <w:rPr>
              <w:rFonts w:ascii="Times New Roman" w:hAnsi="Times New Roman" w:eastAsia="Times New Roman" w:cs="Times New Roman"/>
            </w:rPr>
          </w:pPr>
          <w:r>
            <w:rPr>
              <w:rFonts w:hint="eastAsia"/>
              <w:spacing w:val="-1"/>
              <w:lang w:val="en-US" w:eastAsia="zh-CN"/>
            </w:rPr>
            <w:t>2、</w:t>
          </w:r>
          <w:r>
            <w:rPr>
              <w:spacing w:val="-1"/>
            </w:rPr>
            <w:t>单位预算安排的总体情况</w:t>
          </w:r>
          <w:r>
            <w:rPr>
              <w:spacing w:val="-25"/>
            </w:rPr>
            <w:t xml:space="preserve"> </w:t>
          </w:r>
          <w:r>
            <w:tab/>
          </w:r>
          <w:r>
            <w:rPr>
              <w:rFonts w:hint="eastAsia"/>
              <w:spacing w:val="-7"/>
              <w:lang w:val="en-US" w:eastAsia="zh-CN"/>
            </w:rPr>
            <w:t>14</w:t>
          </w:r>
        </w:p>
      </w:sdtContent>
    </w:sdt>
    <w:p>
      <w:pPr>
        <w:spacing w:line="184" w:lineRule="auto"/>
        <w:rPr>
          <w:rFonts w:ascii="Times New Roman" w:hAnsi="Times New Roman" w:eastAsia="Times New Roman" w:cs="Times New Roman"/>
        </w:rPr>
        <w:sectPr>
          <w:pgSz w:w="16840" w:h="11900"/>
          <w:pgMar w:top="1011" w:right="1257" w:bottom="0" w:left="1023" w:header="0" w:footer="0" w:gutter="0"/>
          <w:pgBorders>
            <w:top w:val="none" w:sz="0" w:space="0"/>
            <w:left w:val="none" w:sz="0" w:space="0"/>
            <w:bottom w:val="none" w:sz="0" w:space="0"/>
            <w:right w:val="none" w:sz="0" w:space="0"/>
          </w:pgBorders>
          <w:cols w:space="720" w:num="1"/>
        </w:sectPr>
      </w:pPr>
    </w:p>
    <w:p>
      <w:pPr>
        <w:spacing w:line="338" w:lineRule="auto"/>
        <w:rPr>
          <w:rFonts w:ascii="Arial"/>
          <w:sz w:val="21"/>
        </w:rPr>
      </w:pPr>
    </w:p>
    <w:sdt>
      <w:sdtPr>
        <w:rPr>
          <w:rFonts w:ascii="微软雅黑" w:hAnsi="微软雅黑" w:eastAsia="微软雅黑" w:cs="微软雅黑"/>
          <w:sz w:val="28"/>
          <w:szCs w:val="28"/>
        </w:rPr>
        <w:id w:val="7"/>
        <w:docPartObj>
          <w:docPartGallery w:val="Table of Contents"/>
          <w:docPartUnique/>
        </w:docPartObj>
      </w:sdtPr>
      <w:sdtEndPr>
        <w:rPr>
          <w:rFonts w:ascii="Times New Roman" w:hAnsi="Times New Roman" w:eastAsia="Times New Roman" w:cs="Times New Roman"/>
          <w:sz w:val="28"/>
          <w:szCs w:val="28"/>
        </w:rPr>
      </w:sdtEndPr>
      <w:sdtContent>
        <w:p>
          <w:pPr>
            <w:pStyle w:val="2"/>
            <w:tabs>
              <w:tab w:val="right" w:leader="dot" w:pos="14000"/>
            </w:tabs>
            <w:spacing w:before="120" w:line="184" w:lineRule="auto"/>
            <w:ind w:left="5"/>
            <w:rPr>
              <w:rFonts w:hint="default" w:ascii="Times New Roman" w:hAnsi="Times New Roman" w:eastAsia="微软雅黑" w:cs="Times New Roman"/>
              <w:lang w:val="en-US" w:eastAsia="zh-CN"/>
            </w:rPr>
          </w:pPr>
          <w:bookmarkStart w:id="0" w:name="bookmark1"/>
          <w:bookmarkEnd w:id="0"/>
          <w:r>
            <w:rPr>
              <w:rFonts w:hint="eastAsia" w:cs="微软雅黑"/>
              <w:sz w:val="28"/>
              <w:szCs w:val="28"/>
              <w:lang w:val="en-US" w:eastAsia="zh-CN"/>
            </w:rPr>
            <w:t>3、</w:t>
          </w:r>
          <w:r>
            <w:rPr>
              <w:spacing w:val="-1"/>
            </w:rPr>
            <w:t>机关运行经费安排情况</w:t>
          </w:r>
          <w:r>
            <w:rPr>
              <w:spacing w:val="-27"/>
            </w:rPr>
            <w:t xml:space="preserve"> </w:t>
          </w:r>
          <w:r>
            <w:tab/>
          </w:r>
          <w:r>
            <w:rPr>
              <w:spacing w:val="-30"/>
            </w:rPr>
            <w:t xml:space="preserve"> </w:t>
          </w:r>
          <w:r>
            <w:rPr>
              <w:rFonts w:hint="eastAsia"/>
              <w:lang w:val="en-US" w:eastAsia="zh-CN"/>
            </w:rPr>
            <w:t>15</w:t>
          </w:r>
        </w:p>
        <w:p>
          <w:pPr>
            <w:pStyle w:val="2"/>
            <w:tabs>
              <w:tab w:val="right" w:leader="dot" w:pos="14000"/>
            </w:tabs>
            <w:spacing w:before="231" w:line="184" w:lineRule="auto"/>
            <w:ind w:left="23"/>
            <w:rPr>
              <w:rFonts w:hint="default" w:ascii="Times New Roman" w:hAnsi="Times New Roman" w:eastAsia="微软雅黑" w:cs="Times New Roman"/>
              <w:lang w:val="en-US" w:eastAsia="zh-CN"/>
            </w:rPr>
          </w:pPr>
          <w:r>
            <w:rPr>
              <w:rFonts w:hint="eastAsia"/>
              <w:spacing w:val="-1"/>
              <w:lang w:val="en-US" w:eastAsia="zh-CN"/>
            </w:rPr>
            <w:t>4、</w:t>
          </w:r>
          <w:r>
            <w:rPr>
              <w:spacing w:val="-1"/>
            </w:rPr>
            <w:t>财政拨款</w:t>
          </w:r>
          <w:r>
            <w:rPr>
              <w:rFonts w:ascii="Times New Roman" w:hAnsi="Times New Roman" w:eastAsia="Times New Roman" w:cs="Times New Roman"/>
              <w:spacing w:val="-1"/>
            </w:rPr>
            <w:t>“</w:t>
          </w:r>
          <w:r>
            <w:rPr>
              <w:spacing w:val="-1"/>
            </w:rPr>
            <w:t>三公</w:t>
          </w:r>
          <w:r>
            <w:rPr>
              <w:rFonts w:ascii="Times New Roman" w:hAnsi="Times New Roman" w:eastAsia="Times New Roman" w:cs="Times New Roman"/>
              <w:spacing w:val="-1"/>
            </w:rPr>
            <w:t>”</w:t>
          </w:r>
          <w:r>
            <w:rPr>
              <w:spacing w:val="-1"/>
            </w:rPr>
            <w:t>经费预算情况及增减变</w:t>
          </w:r>
          <w:r>
            <w:rPr>
              <w:spacing w:val="-2"/>
            </w:rPr>
            <w:t>化原因</w:t>
          </w:r>
          <w:r>
            <w:rPr>
              <w:spacing w:val="-29"/>
            </w:rPr>
            <w:t xml:space="preserve"> </w:t>
          </w:r>
          <w:r>
            <w:tab/>
          </w:r>
          <w:r>
            <w:rPr>
              <w:spacing w:val="-39"/>
            </w:rPr>
            <w:t xml:space="preserve"> </w:t>
          </w:r>
          <w:r>
            <w:rPr>
              <w:rFonts w:hint="eastAsia"/>
              <w:lang w:val="en-US" w:eastAsia="zh-CN"/>
            </w:rPr>
            <w:t>15</w:t>
          </w:r>
        </w:p>
        <w:p>
          <w:pPr>
            <w:pStyle w:val="2"/>
            <w:tabs>
              <w:tab w:val="right" w:leader="dot" w:pos="14000"/>
            </w:tabs>
            <w:spacing w:before="231" w:line="184" w:lineRule="auto"/>
            <w:ind w:left="3"/>
            <w:rPr>
              <w:rFonts w:hint="default" w:ascii="Times New Roman" w:hAnsi="Times New Roman" w:eastAsia="微软雅黑" w:cs="Times New Roman"/>
              <w:lang w:val="en-US" w:eastAsia="zh-CN"/>
            </w:rPr>
          </w:pPr>
          <w:r>
            <w:rPr>
              <w:rFonts w:hint="eastAsia"/>
              <w:spacing w:val="-1"/>
              <w:lang w:val="en-US" w:eastAsia="zh-CN"/>
            </w:rPr>
            <w:t>5、</w:t>
          </w:r>
          <w:r>
            <w:rPr>
              <w:spacing w:val="-1"/>
            </w:rPr>
            <w:t>预算绩效信息</w:t>
          </w:r>
          <w:r>
            <w:rPr>
              <w:spacing w:val="-27"/>
            </w:rPr>
            <w:t xml:space="preserve"> </w:t>
          </w:r>
          <w:r>
            <w:tab/>
          </w:r>
          <w:r>
            <w:rPr>
              <w:spacing w:val="-15"/>
            </w:rPr>
            <w:t xml:space="preserve"> </w:t>
          </w:r>
          <w:r>
            <w:rPr>
              <w:rFonts w:hint="eastAsia"/>
              <w:lang w:val="en-US" w:eastAsia="zh-CN"/>
            </w:rPr>
            <w:t>16</w:t>
          </w:r>
        </w:p>
        <w:p>
          <w:pPr>
            <w:pStyle w:val="2"/>
            <w:tabs>
              <w:tab w:val="right" w:leader="dot" w:pos="14000"/>
            </w:tabs>
            <w:spacing w:before="231" w:line="184" w:lineRule="auto"/>
            <w:ind w:left="4"/>
            <w:rPr>
              <w:rFonts w:hint="default" w:ascii="Times New Roman" w:hAnsi="Times New Roman" w:eastAsia="微软雅黑" w:cs="Times New Roman"/>
              <w:lang w:val="en-US" w:eastAsia="zh-CN"/>
            </w:rPr>
          </w:pPr>
          <w:r>
            <w:rPr>
              <w:rFonts w:hint="eastAsia"/>
              <w:spacing w:val="-1"/>
              <w:lang w:val="en-US" w:eastAsia="zh-CN"/>
            </w:rPr>
            <w:t>6、</w:t>
          </w:r>
          <w:r>
            <w:rPr>
              <w:spacing w:val="-1"/>
            </w:rPr>
            <w:t>政府采购预算情况</w:t>
          </w:r>
          <w:r>
            <w:rPr>
              <w:spacing w:val="-27"/>
            </w:rPr>
            <w:t xml:space="preserve"> </w:t>
          </w:r>
          <w:r>
            <w:tab/>
          </w:r>
          <w:r>
            <w:rPr>
              <w:rFonts w:hint="eastAsia"/>
              <w:spacing w:val="-23"/>
              <w:lang w:val="en-US" w:eastAsia="zh-CN"/>
            </w:rPr>
            <w:t>17</w:t>
          </w:r>
        </w:p>
        <w:p>
          <w:pPr>
            <w:pStyle w:val="2"/>
            <w:tabs>
              <w:tab w:val="right" w:leader="dot" w:pos="14000"/>
            </w:tabs>
            <w:spacing w:before="234" w:line="184" w:lineRule="auto"/>
            <w:ind w:left="4"/>
            <w:rPr>
              <w:rFonts w:hint="default" w:ascii="Times New Roman" w:hAnsi="Times New Roman" w:eastAsia="微软雅黑" w:cs="Times New Roman"/>
              <w:lang w:val="en-US" w:eastAsia="zh-CN"/>
            </w:rPr>
          </w:pPr>
          <w:r>
            <w:rPr>
              <w:rFonts w:hint="eastAsia"/>
              <w:spacing w:val="-1"/>
              <w:lang w:val="en-US" w:eastAsia="zh-CN"/>
            </w:rPr>
            <w:t>7、</w:t>
          </w:r>
          <w:r>
            <w:rPr>
              <w:spacing w:val="-1"/>
            </w:rPr>
            <w:t>国有资产信息</w:t>
          </w:r>
          <w:r>
            <w:rPr>
              <w:spacing w:val="-28"/>
            </w:rPr>
            <w:t xml:space="preserve"> </w:t>
          </w:r>
          <w:r>
            <w:tab/>
          </w:r>
          <w:r>
            <w:rPr>
              <w:rFonts w:hint="eastAsia"/>
              <w:spacing w:val="-15"/>
              <w:lang w:val="en-US" w:eastAsia="zh-CN"/>
            </w:rPr>
            <w:t>18</w:t>
          </w:r>
        </w:p>
        <w:p>
          <w:pPr>
            <w:pStyle w:val="2"/>
            <w:tabs>
              <w:tab w:val="right" w:leader="dot" w:pos="14000"/>
            </w:tabs>
            <w:spacing w:before="234" w:line="183" w:lineRule="auto"/>
            <w:rPr>
              <w:rFonts w:hint="default" w:ascii="Times New Roman" w:hAnsi="Times New Roman" w:eastAsia="微软雅黑" w:cs="Times New Roman"/>
              <w:lang w:val="en-US" w:eastAsia="zh-CN"/>
            </w:rPr>
          </w:pPr>
          <w:r>
            <w:rPr>
              <w:rFonts w:hint="eastAsia"/>
              <w:spacing w:val="-1"/>
              <w:lang w:val="en-US" w:eastAsia="zh-CN"/>
            </w:rPr>
            <w:t>8、</w:t>
          </w:r>
          <w:r>
            <w:rPr>
              <w:spacing w:val="-1"/>
            </w:rPr>
            <w:t>名词解释</w:t>
          </w:r>
          <w:r>
            <w:rPr>
              <w:spacing w:val="-27"/>
            </w:rPr>
            <w:t xml:space="preserve"> </w:t>
          </w:r>
          <w:r>
            <w:tab/>
          </w:r>
          <w:r>
            <w:rPr>
              <w:rFonts w:hint="eastAsia"/>
              <w:lang w:val="en-US" w:eastAsia="zh-CN"/>
            </w:rPr>
            <w:t>19</w:t>
          </w:r>
        </w:p>
        <w:p>
          <w:pPr>
            <w:pStyle w:val="2"/>
            <w:tabs>
              <w:tab w:val="right" w:leader="dot" w:pos="14001"/>
            </w:tabs>
            <w:spacing w:before="234" w:line="183" w:lineRule="auto"/>
            <w:ind w:left="1"/>
            <w:rPr>
              <w:rFonts w:ascii="Times New Roman" w:hAnsi="Times New Roman" w:eastAsia="Times New Roman" w:cs="Times New Roman"/>
            </w:rPr>
          </w:pPr>
          <w:r>
            <w:rPr>
              <w:rFonts w:hint="eastAsia"/>
              <w:spacing w:val="-1"/>
              <w:lang w:val="en-US" w:eastAsia="zh-CN"/>
            </w:rPr>
            <w:t>9、</w:t>
          </w:r>
          <w:r>
            <w:rPr>
              <w:spacing w:val="-1"/>
            </w:rPr>
            <w:t>其他需要说明的事项</w:t>
          </w:r>
          <w:r>
            <w:rPr>
              <w:spacing w:val="-23"/>
            </w:rPr>
            <w:t xml:space="preserve"> </w:t>
          </w:r>
          <w:r>
            <w:tab/>
          </w:r>
          <w:r>
            <w:rPr>
              <w:rFonts w:hint="eastAsia"/>
              <w:spacing w:val="-27"/>
              <w:lang w:val="en-US" w:eastAsia="zh-CN"/>
            </w:rPr>
            <w:t>20</w:t>
          </w:r>
        </w:p>
      </w:sdtContent>
    </w:sdt>
    <w:p>
      <w:pPr>
        <w:spacing w:line="183" w:lineRule="auto"/>
        <w:rPr>
          <w:rFonts w:ascii="Times New Roman" w:hAnsi="Times New Roman" w:eastAsia="Times New Roman" w:cs="Times New Roman"/>
        </w:rPr>
        <w:sectPr>
          <w:pgSz w:w="16840" w:h="11900"/>
          <w:pgMar w:top="1011" w:right="1255" w:bottom="0" w:left="1581" w:header="0" w:footer="0" w:gutter="0"/>
          <w:pgBorders>
            <w:top w:val="none" w:sz="0" w:space="0"/>
            <w:left w:val="none" w:sz="0" w:space="0"/>
            <w:bottom w:val="none" w:sz="0" w:space="0"/>
            <w:right w:val="none" w:sz="0" w:space="0"/>
          </w:pgBorders>
          <w:cols w:space="720" w:num="1"/>
        </w:sectPr>
      </w:pPr>
    </w:p>
    <w:p>
      <w:pPr>
        <w:spacing w:line="339" w:lineRule="auto"/>
        <w:rPr>
          <w:rFonts w:ascii="Arial"/>
          <w:sz w:val="21"/>
        </w:rPr>
      </w:pPr>
    </w:p>
    <w:p>
      <w:pPr>
        <w:pStyle w:val="2"/>
        <w:spacing w:before="185" w:line="235" w:lineRule="auto"/>
        <w:ind w:left="3010"/>
        <w:rPr>
          <w:sz w:val="43"/>
          <w:szCs w:val="43"/>
        </w:rPr>
      </w:pPr>
      <w:r>
        <w:rPr>
          <w:spacing w:val="9"/>
          <w:sz w:val="43"/>
          <w:szCs w:val="43"/>
        </w:rPr>
        <w:t>承德市商务局劳动就业指导服务中心收支预算</w:t>
      </w:r>
    </w:p>
    <w:p>
      <w:pPr>
        <w:pStyle w:val="2"/>
        <w:spacing w:line="187" w:lineRule="auto"/>
        <w:ind w:left="5971"/>
        <w:rPr>
          <w:spacing w:val="9"/>
          <w:sz w:val="35"/>
          <w:szCs w:val="35"/>
        </w:rPr>
      </w:pPr>
    </w:p>
    <w:tbl>
      <w:tblPr>
        <w:tblStyle w:val="3"/>
        <w:tblW w:w="13620"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926"/>
        <w:gridCol w:w="4653"/>
        <w:gridCol w:w="1237"/>
        <w:gridCol w:w="4743"/>
        <w:gridCol w:w="2369"/>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trPr>
        <w:tc>
          <w:tcPr>
            <w:tcW w:w="13626" w:type="dxa"/>
            <w:gridSpan w:val="5"/>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单位预算收支总表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gridSpan w:val="3"/>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收入</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预算数</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预算数</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一、一般公共预算拨款收入</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二、政府性基金预算拨款收入</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二、外交支出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三、国有资本经营预算拨款收入</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三、国防支出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四、财政专户管理资金收入</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四、公共安全支出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五、单位资金</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五、教育支出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六、科学技术支出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七、文化旅游体育与传媒支出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八、社会保障和就业支出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九、社会保险基金支出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十、卫生健康支出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十一、节能环保支出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十二、城乡社区支出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十三、农林水支出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十四、交通运输支出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十五、资源勘探工业信息等支出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十六、商业服务业等支出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十七、金融支出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十八、援助其他地区支出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十九、自然资源海洋气象等支出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二十、住房保障支出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二十一、粮油物资储备支出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二十二、国有资本经营预算支出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二十三、灾害防治及应急管理支出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二十四、预备费</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二十五、其他支出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二十六、转移性支出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二十七、债务还本支出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二十八、债务付息支出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二十九、债务发行费用支出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三十、抗疫特别国债安排的支出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三十一、往来性支出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本年收入合计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本年支出合计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上年结转结余</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年终结转结余</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收入总计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支出总计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r>
    </w:tbl>
    <w:p>
      <w:pPr>
        <w:pStyle w:val="2"/>
        <w:spacing w:line="187" w:lineRule="auto"/>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rPr>
          <w:spacing w:val="9"/>
          <w:sz w:val="35"/>
          <w:szCs w:val="35"/>
        </w:rPr>
      </w:pPr>
    </w:p>
    <w:tbl>
      <w:tblPr>
        <w:tblStyle w:val="3"/>
        <w:tblW w:w="14955"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827"/>
        <w:gridCol w:w="1382"/>
        <w:gridCol w:w="3047"/>
        <w:gridCol w:w="1361"/>
        <w:gridCol w:w="1266"/>
        <w:gridCol w:w="1182"/>
        <w:gridCol w:w="843"/>
        <w:gridCol w:w="843"/>
        <w:gridCol w:w="843"/>
        <w:gridCol w:w="887"/>
        <w:gridCol w:w="869"/>
        <w:gridCol w:w="888"/>
        <w:gridCol w:w="868"/>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570" w:hRule="atLeast"/>
        </w:trPr>
        <w:tc>
          <w:tcPr>
            <w:tcW w:w="14964" w:type="dxa"/>
            <w:gridSpan w:val="13"/>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单位预算收入总表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gridSpan w:val="9"/>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gridSpan w:val="2"/>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gridSpan w:val="2"/>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功能分类科目</w:t>
            </w:r>
          </w:p>
        </w:tc>
        <w:tc>
          <w:tcPr>
            <w:tcW w:w="144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7845" w:type="dxa"/>
            <w:gridSpan w:val="8"/>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本年收入</w:t>
            </w:r>
          </w:p>
        </w:tc>
        <w:tc>
          <w:tcPr>
            <w:tcW w:w="90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上年结转</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108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144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小计</w:t>
            </w:r>
          </w:p>
        </w:tc>
        <w:tc>
          <w:tcPr>
            <w:tcW w:w="115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财政拨款收入</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财政专户收入</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事业收入</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经营收入</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上级补助收入</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附属单位上缴收入</w:t>
            </w:r>
          </w:p>
        </w:tc>
        <w:tc>
          <w:tcPr>
            <w:tcW w:w="90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其他收入</w:t>
            </w:r>
          </w:p>
        </w:tc>
        <w:tc>
          <w:tcPr>
            <w:tcW w:w="90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30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12</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商贸事务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2011350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事业运行</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行政事业单位养老支出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事业单位离退休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tbl>
      <w:tblPr>
        <w:tblStyle w:val="3"/>
        <w:tblW w:w="14820"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812"/>
        <w:gridCol w:w="1356"/>
        <w:gridCol w:w="2990"/>
        <w:gridCol w:w="1345"/>
        <w:gridCol w:w="1345"/>
        <w:gridCol w:w="1345"/>
        <w:gridCol w:w="1171"/>
        <w:gridCol w:w="2256"/>
        <w:gridCol w:w="2209"/>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trPr>
        <w:tc>
          <w:tcPr>
            <w:tcW w:w="14829" w:type="dxa"/>
            <w:gridSpan w:val="9"/>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单位预算支出总表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gridSpan w:val="7"/>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支出功能分类科目</w:t>
            </w:r>
          </w:p>
        </w:tc>
        <w:tc>
          <w:tcPr>
            <w:tcW w:w="14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本年支出合计</w:t>
            </w:r>
          </w:p>
        </w:tc>
        <w:tc>
          <w:tcPr>
            <w:tcW w:w="14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基本支出</w:t>
            </w:r>
          </w:p>
        </w:tc>
        <w:tc>
          <w:tcPr>
            <w:tcW w:w="14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项目支出</w:t>
            </w:r>
          </w:p>
        </w:tc>
        <w:tc>
          <w:tcPr>
            <w:tcW w:w="145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经营支出</w:t>
            </w:r>
          </w:p>
        </w:tc>
        <w:tc>
          <w:tcPr>
            <w:tcW w:w="1890"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上缴上级支出</w:t>
            </w:r>
          </w:p>
        </w:tc>
        <w:tc>
          <w:tcPr>
            <w:tcW w:w="1815"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对附属单位补助支出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14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90"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15"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27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8</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77.27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16.60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16.60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商贸事务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16.60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2011350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事业运行</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16.60</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行政事业单位养老支出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事业单位离退休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tbl>
      <w:tblPr>
        <w:tblStyle w:val="3"/>
        <w:tblW w:w="14880"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731"/>
        <w:gridCol w:w="3182"/>
        <w:gridCol w:w="800"/>
        <w:gridCol w:w="3917"/>
        <w:gridCol w:w="1161"/>
        <w:gridCol w:w="1178"/>
        <w:gridCol w:w="1956"/>
        <w:gridCol w:w="1957"/>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570" w:hRule="atLeast"/>
        </w:trPr>
        <w:tc>
          <w:tcPr>
            <w:tcW w:w="14882" w:type="dxa"/>
            <w:gridSpan w:val="8"/>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单位预算财政拨款收支总表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gridSpan w:val="6"/>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收入</w:t>
            </w:r>
          </w:p>
        </w:tc>
        <w:tc>
          <w:tcPr>
            <w:tcW w:w="0" w:type="auto"/>
            <w:gridSpan w:val="5"/>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110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136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139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一般公共预算财政拨款</w:t>
            </w:r>
          </w:p>
        </w:tc>
        <w:tc>
          <w:tcPr>
            <w:tcW w:w="1665"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政府性基金预算财政拨款</w:t>
            </w:r>
          </w:p>
        </w:tc>
        <w:tc>
          <w:tcPr>
            <w:tcW w:w="1650" w:type="dxa"/>
            <w:tcBorders>
              <w:tl2br w:val="nil"/>
              <w:tr2bl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国有资本经营预算财政拨款</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7</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一、一般公共预算拨款</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二、政府性基金预算拨款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二、外交支出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三、国有资本经营预算拨款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三、国防支出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四、公共安全支出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五、教育支出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六、科学技术支出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七、文化旅游体育与传媒支出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八、社会保障和就业支出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九、社会保险基金支出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十、卫生健康支出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十一、节能环保支出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12</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十二、城乡社区支出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13</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十三、农林水支出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十四、交通运输支出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十五、资源勘探工业信息等支出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十六、商业服务业等支出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十七、金融支出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十八、援助其他地区支出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十九、自然资源海洋气象等支出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二十、住房保障支出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二十一、粮油物资储备支出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22</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二十二、国有资本经营预算支出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23</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二十三、灾害防治及应急管理支出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24</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二十四、预备费</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25</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二十五、其他支出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26</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二十六、转移性支出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27</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二十七、债务还本支出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28</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二十八、债务付息支出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29</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二十九、债务发行费用支出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三十、抗疫特别国债安排的支出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三十一、往来性支出</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本年收入合计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本年支出合计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年初财政拨款结转和结余</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年末财政拨款结转和结余</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一、一般公共预算拨款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二、政府性基金预算拨款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三、国有资本经营预算拨款</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收入总计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支出总计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tbl>
      <w:tblPr>
        <w:tblStyle w:val="3"/>
        <w:tblW w:w="14985"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963"/>
        <w:gridCol w:w="1609"/>
        <w:gridCol w:w="3547"/>
        <w:gridCol w:w="1054"/>
        <w:gridCol w:w="1054"/>
        <w:gridCol w:w="1609"/>
        <w:gridCol w:w="2578"/>
        <w:gridCol w:w="2577"/>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570" w:hRule="atLeast"/>
        </w:trPr>
        <w:tc>
          <w:tcPr>
            <w:tcW w:w="14991" w:type="dxa"/>
            <w:gridSpan w:val="8"/>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单位预算一般公共预算财政拨款支出表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gridSpan w:val="6"/>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支出功能分类科目</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gridSpan w:val="3"/>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基本支出</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小计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人员经费</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公用经费</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7</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93.87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77.27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77.27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16.60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一般公共服务支出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16.60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商贸事务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16.60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2011350</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事业运行</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77.98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16.60</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社会保障和就业支出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行政事业单位养老支出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2080502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事业单位离退休</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tbl>
      <w:tblPr>
        <w:tblStyle w:val="3"/>
        <w:tblW w:w="14085"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1130"/>
        <w:gridCol w:w="1888"/>
        <w:gridCol w:w="3783"/>
        <w:gridCol w:w="1237"/>
        <w:gridCol w:w="3025"/>
        <w:gridCol w:w="3024"/>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trPr>
        <w:tc>
          <w:tcPr>
            <w:tcW w:w="14087" w:type="dxa"/>
            <w:gridSpan w:val="6"/>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单位预算一般公共预算财政拨款基本支出表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gridSpan w:val="4"/>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支出部门经济分类科目</w:t>
            </w:r>
          </w:p>
        </w:tc>
        <w:tc>
          <w:tcPr>
            <w:tcW w:w="0" w:type="auto"/>
            <w:gridSpan w:val="3"/>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一般公共预算基本支出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人员经费</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公用经费</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27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77.27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77.27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工资福利支出</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61.38</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基本工资</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59.54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59.54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30107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绩效工资</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1.84</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1.84</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5</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对个人和家庭的补助</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15.89</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6</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30301</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离休费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0.37</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0.37</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7</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30302</w:t>
            </w:r>
          </w:p>
        </w:tc>
        <w:tc>
          <w:tcPr>
            <w:tcW w:w="0" w:type="auto"/>
            <w:tcBorders>
              <w:tl2br w:val="nil"/>
              <w:tr2bl w:val="nil"/>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退休费</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15.52</w:t>
            </w:r>
          </w:p>
        </w:tc>
        <w:tc>
          <w:tcPr>
            <w:tcW w:w="0" w:type="auto"/>
            <w:tcBorders>
              <w:tl2br w:val="nil"/>
              <w:tr2bl w:val="nil"/>
            </w:tcBorders>
            <w:shd w:val="clear" w:color="auto" w:fill="auto"/>
            <w:noWrap/>
            <w:vAlign w:val="top"/>
          </w:tcPr>
          <w:p>
            <w:pPr>
              <w:keepNext w:val="0"/>
              <w:keepLines w:val="0"/>
              <w:widowControl/>
              <w:suppressLineNumbers w:val="0"/>
              <w:jc w:val="righ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snapToGrid w:val="0"/>
                <w:color w:val="000000"/>
                <w:kern w:val="0"/>
                <w:sz w:val="22"/>
                <w:szCs w:val="22"/>
                <w:u w:val="none"/>
                <w:lang w:val="en-US" w:eastAsia="zh-CN" w:bidi="ar"/>
              </w:rPr>
              <w:t>15.52</w:t>
            </w: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tbl>
      <w:tblPr>
        <w:tblStyle w:val="3"/>
        <w:tblW w:w="14610"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1366"/>
        <w:gridCol w:w="2283"/>
        <w:gridCol w:w="2283"/>
        <w:gridCol w:w="1366"/>
        <w:gridCol w:w="3657"/>
        <w:gridCol w:w="3657"/>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trPr>
        <w:tc>
          <w:tcPr>
            <w:tcW w:w="14612" w:type="dxa"/>
            <w:gridSpan w:val="6"/>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单位预算政府基金预算财政拨款支出表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gridSpan w:val="4"/>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支出功能分类科目</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基本支出</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27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jc w:val="center"/>
              <w:rPr>
                <w:rFonts w:hint="eastAsia"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rFonts w:hint="eastAsia" w:asciiTheme="majorEastAsia" w:hAnsiTheme="majorEastAsia" w:eastAsiaTheme="majorEastAsia" w:cstheme="majorEastAsia"/>
          <w:spacing w:val="9"/>
          <w:sz w:val="24"/>
          <w:szCs w:val="24"/>
        </w:rPr>
      </w:pPr>
    </w:p>
    <w:p>
      <w:pPr>
        <w:pStyle w:val="2"/>
        <w:spacing w:line="187" w:lineRule="auto"/>
        <w:rPr>
          <w:rFonts w:hint="eastAsia"/>
          <w:spacing w:val="4"/>
          <w:sz w:val="22"/>
          <w:szCs w:val="22"/>
        </w:rPr>
      </w:pPr>
      <w:r>
        <w:rPr>
          <w:rFonts w:hint="eastAsia"/>
          <w:spacing w:val="4"/>
          <w:sz w:val="22"/>
          <w:szCs w:val="22"/>
        </w:rPr>
        <w:t>注 ：无政府基金预算财政拨款预算 ，空表列示。</w:t>
      </w:r>
    </w:p>
    <w:p>
      <w:pPr>
        <w:pStyle w:val="2"/>
        <w:spacing w:line="187" w:lineRule="auto"/>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tbl>
      <w:tblPr>
        <w:tblStyle w:val="3"/>
        <w:tblW w:w="13980"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1307"/>
        <w:gridCol w:w="2184"/>
        <w:gridCol w:w="2184"/>
        <w:gridCol w:w="1307"/>
        <w:gridCol w:w="3499"/>
        <w:gridCol w:w="3501"/>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570" w:hRule="atLeast"/>
        </w:trPr>
        <w:tc>
          <w:tcPr>
            <w:tcW w:w="13982" w:type="dxa"/>
            <w:gridSpan w:val="6"/>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单位预算国有资本经营预算财政拨款支出表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gridSpan w:val="4"/>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gridSpan w:val="2"/>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支出功能分类科目</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基本支出</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项目支出</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科目编码</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科目名称</w:t>
            </w: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27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jc w:val="center"/>
              <w:rPr>
                <w:rFonts w:hint="eastAsia"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spacing w:val="9"/>
          <w:sz w:val="35"/>
          <w:szCs w:val="35"/>
        </w:rPr>
      </w:pPr>
    </w:p>
    <w:p>
      <w:pPr>
        <w:pStyle w:val="2"/>
        <w:spacing w:line="187" w:lineRule="auto"/>
        <w:rPr>
          <w:spacing w:val="9"/>
          <w:sz w:val="22"/>
          <w:szCs w:val="22"/>
        </w:rPr>
      </w:pPr>
      <w:r>
        <w:rPr>
          <w:spacing w:val="4"/>
          <w:sz w:val="22"/>
          <w:szCs w:val="22"/>
        </w:rPr>
        <w:t>注 ：无国有资本经营预算财政拨款预算 ，</w:t>
      </w:r>
      <w:r>
        <w:rPr>
          <w:spacing w:val="3"/>
          <w:sz w:val="22"/>
          <w:szCs w:val="22"/>
        </w:rPr>
        <w:t>空表列示</w:t>
      </w: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tbl>
      <w:tblPr>
        <w:tblStyle w:val="3"/>
        <w:tblW w:w="14355" w:type="dxa"/>
        <w:tblInd w:w="93" w:type="dxa"/>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Layout w:type="autofit"/>
        <w:tblCellMar>
          <w:top w:w="0" w:type="dxa"/>
          <w:left w:w="108" w:type="dxa"/>
          <w:bottom w:w="0" w:type="dxa"/>
          <w:right w:w="108" w:type="dxa"/>
        </w:tblCellMar>
      </w:tblPr>
      <w:tblGrid>
        <w:gridCol w:w="1020"/>
        <w:gridCol w:w="1020"/>
        <w:gridCol w:w="1020"/>
        <w:gridCol w:w="3756"/>
        <w:gridCol w:w="3341"/>
        <w:gridCol w:w="4346"/>
      </w:tblGrid>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shd w:val="clear" w:color="auto" w:fill="auto"/>
          <w:tblCellMar>
            <w:top w:w="0" w:type="dxa"/>
            <w:left w:w="108" w:type="dxa"/>
            <w:bottom w:w="0" w:type="dxa"/>
            <w:right w:w="108" w:type="dxa"/>
          </w:tblCellMar>
        </w:tblPrEx>
        <w:trPr>
          <w:trHeight w:val="570" w:hRule="atLeast"/>
        </w:trPr>
        <w:tc>
          <w:tcPr>
            <w:tcW w:w="14357" w:type="dxa"/>
            <w:gridSpan w:val="6"/>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7"/>
                <w:szCs w:val="27"/>
                <w:u w:val="none"/>
              </w:rPr>
            </w:pPr>
            <w:r>
              <w:rPr>
                <w:rFonts w:hint="eastAsia" w:ascii="宋体" w:hAnsi="宋体" w:eastAsia="宋体" w:cs="宋体"/>
                <w:i w:val="0"/>
                <w:iCs w:val="0"/>
                <w:snapToGrid w:val="0"/>
                <w:color w:val="000000"/>
                <w:kern w:val="0"/>
                <w:sz w:val="27"/>
                <w:szCs w:val="27"/>
                <w:u w:val="none"/>
                <w:lang w:val="en-US" w:eastAsia="zh-CN" w:bidi="ar"/>
              </w:rPr>
              <w:t>单位预算财政拨款</w:t>
            </w:r>
            <w:r>
              <w:rPr>
                <w:rStyle w:val="7"/>
                <w:snapToGrid w:val="0"/>
                <w:color w:val="000000"/>
                <w:lang w:val="en-US" w:eastAsia="zh-CN" w:bidi="ar"/>
              </w:rPr>
              <w:t>“</w:t>
            </w:r>
            <w:r>
              <w:rPr>
                <w:rStyle w:val="8"/>
                <w:snapToGrid w:val="0"/>
                <w:color w:val="000000"/>
                <w:lang w:val="en-US" w:eastAsia="zh-CN" w:bidi="ar"/>
              </w:rPr>
              <w:t>三公</w:t>
            </w:r>
            <w:r>
              <w:rPr>
                <w:rStyle w:val="7"/>
                <w:snapToGrid w:val="0"/>
                <w:color w:val="000000"/>
                <w:lang w:val="en-US" w:eastAsia="zh-CN" w:bidi="ar"/>
              </w:rPr>
              <w:t>”</w:t>
            </w:r>
            <w:r>
              <w:rPr>
                <w:rStyle w:val="8"/>
                <w:snapToGrid w:val="0"/>
                <w:color w:val="000000"/>
                <w:lang w:val="en-US" w:eastAsia="zh-CN" w:bidi="ar"/>
              </w:rPr>
              <w:t>经费支出表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gridSpan w:val="4"/>
            <w:tcBorders>
              <w:tl2br w:val="nil"/>
              <w:tr2bl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预算单位编码及名称：[482003]承德市商务局劳动就业指导服务中心</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预算年度：2024</w:t>
            </w:r>
          </w:p>
        </w:tc>
        <w:tc>
          <w:tcPr>
            <w:tcW w:w="0" w:type="auto"/>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金额单位：万元</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序号</w:t>
            </w:r>
          </w:p>
        </w:tc>
        <w:tc>
          <w:tcPr>
            <w:tcW w:w="0" w:type="auto"/>
            <w:vMerge w:val="restart"/>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项目</w:t>
            </w:r>
          </w:p>
        </w:tc>
        <w:tc>
          <w:tcPr>
            <w:tcW w:w="0" w:type="auto"/>
            <w:gridSpan w:val="4"/>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资金性质</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合计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一般公共预算财政拨款</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政府性基金财政拨款</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国有资本经营预算财政拨款</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270" w:hRule="atLeast"/>
        </w:trPr>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栏次</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1</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2</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3</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4</w:t>
            </w:r>
          </w:p>
        </w:tc>
        <w:tc>
          <w:tcPr>
            <w:tcW w:w="0" w:type="auto"/>
            <w:tcBorders>
              <w:tl2br w:val="nil"/>
              <w:tr2bl w:val="nil"/>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snapToGrid w:val="0"/>
                <w:color w:val="000000"/>
                <w:kern w:val="0"/>
                <w:sz w:val="22"/>
                <w:szCs w:val="22"/>
                <w:u w:val="none"/>
                <w:lang w:val="en-US" w:eastAsia="zh-CN" w:bidi="ar"/>
              </w:rPr>
              <w:t>5</w:t>
            </w:r>
          </w:p>
        </w:tc>
      </w:tr>
      <w:tr>
        <w:tblPrEx>
          <w:tblBorders>
            <w:top w:val="single" w:color="B0C4DE" w:sz="4" w:space="0"/>
            <w:left w:val="single" w:color="B0C4DE" w:sz="4" w:space="0"/>
            <w:bottom w:val="single" w:color="B0C4DE" w:sz="4" w:space="0"/>
            <w:right w:val="single" w:color="B0C4DE" w:sz="4" w:space="0"/>
            <w:insideH w:val="single" w:color="B0C4DE" w:sz="4" w:space="0"/>
            <w:insideV w:val="single" w:color="B0C4DE" w:sz="4" w:space="0"/>
          </w:tblBorders>
          <w:tblCellMar>
            <w:top w:w="0" w:type="dxa"/>
            <w:left w:w="108" w:type="dxa"/>
            <w:bottom w:w="0" w:type="dxa"/>
            <w:right w:w="108" w:type="dxa"/>
          </w:tblCellMar>
        </w:tblPrEx>
        <w:trPr>
          <w:trHeight w:val="450" w:hRule="atLeast"/>
        </w:trPr>
        <w:tc>
          <w:tcPr>
            <w:tcW w:w="0" w:type="auto"/>
            <w:tcBorders>
              <w:tl2br w:val="nil"/>
              <w:tr2bl w:val="nil"/>
            </w:tcBorders>
            <w:shd w:val="clear" w:color="auto" w:fill="E9EFF6"/>
            <w:noWrap/>
            <w:vAlign w:val="top"/>
          </w:tcPr>
          <w:p>
            <w:pPr>
              <w:jc w:val="center"/>
              <w:rPr>
                <w:rFonts w:hint="eastAsia"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lef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c>
          <w:tcPr>
            <w:tcW w:w="0" w:type="auto"/>
            <w:tcBorders>
              <w:tl2br w:val="nil"/>
              <w:tr2bl w:val="nil"/>
            </w:tcBorders>
            <w:shd w:val="clear" w:color="auto" w:fill="auto"/>
            <w:noWrap/>
            <w:vAlign w:val="top"/>
          </w:tcPr>
          <w:p>
            <w:pPr>
              <w:jc w:val="right"/>
              <w:rPr>
                <w:rFonts w:hint="default" w:ascii="Calibri" w:hAnsi="Calibri" w:eastAsia="宋体" w:cs="Calibri"/>
                <w:i w:val="0"/>
                <w:iCs w:val="0"/>
                <w:color w:val="000000"/>
                <w:sz w:val="22"/>
                <w:szCs w:val="22"/>
                <w:u w:val="none"/>
              </w:rPr>
            </w:pPr>
          </w:p>
        </w:tc>
      </w:tr>
    </w:tbl>
    <w:p>
      <w:pPr>
        <w:pStyle w:val="2"/>
        <w:spacing w:line="187" w:lineRule="auto"/>
        <w:rPr>
          <w:spacing w:val="9"/>
          <w:sz w:val="35"/>
          <w:szCs w:val="35"/>
        </w:rPr>
      </w:pPr>
    </w:p>
    <w:p>
      <w:pPr>
        <w:pStyle w:val="2"/>
        <w:spacing w:line="187" w:lineRule="auto"/>
        <w:rPr>
          <w:spacing w:val="9"/>
          <w:sz w:val="22"/>
          <w:szCs w:val="22"/>
        </w:rPr>
      </w:pPr>
      <w:r>
        <w:rPr>
          <w:spacing w:val="4"/>
          <w:sz w:val="22"/>
          <w:szCs w:val="22"/>
        </w:rPr>
        <w:t>注 ：无财政拨款“三公”经费支出预算 ，空表列示。</w:t>
      </w: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pStyle w:val="2"/>
        <w:spacing w:line="187" w:lineRule="auto"/>
        <w:ind w:left="5971"/>
        <w:rPr>
          <w:spacing w:val="9"/>
          <w:sz w:val="35"/>
          <w:szCs w:val="35"/>
        </w:rPr>
      </w:pPr>
    </w:p>
    <w:p>
      <w:pPr>
        <w:spacing w:line="339" w:lineRule="auto"/>
        <w:rPr>
          <w:rFonts w:ascii="Arial"/>
          <w:sz w:val="21"/>
        </w:rPr>
      </w:pPr>
    </w:p>
    <w:p>
      <w:pPr>
        <w:pStyle w:val="2"/>
        <w:spacing w:before="184" w:line="187" w:lineRule="auto"/>
        <w:ind w:left="395"/>
        <w:rPr>
          <w:sz w:val="43"/>
          <w:szCs w:val="43"/>
        </w:rPr>
      </w:pPr>
      <w:bookmarkStart w:id="1" w:name="bookmark10"/>
      <w:bookmarkEnd w:id="1"/>
      <w:bookmarkStart w:id="2" w:name="bookmark11"/>
      <w:bookmarkEnd w:id="2"/>
      <w:r>
        <w:rPr>
          <w:spacing w:val="8"/>
          <w:sz w:val="43"/>
          <w:szCs w:val="43"/>
        </w:rPr>
        <w:t>承德市商务局劳动就业指导服务中心 202</w:t>
      </w:r>
      <w:r>
        <w:rPr>
          <w:rFonts w:hint="eastAsia"/>
          <w:spacing w:val="8"/>
          <w:sz w:val="43"/>
          <w:szCs w:val="43"/>
          <w:lang w:val="en-US" w:eastAsia="zh-CN"/>
        </w:rPr>
        <w:t>4</w:t>
      </w:r>
      <w:r>
        <w:rPr>
          <w:spacing w:val="8"/>
          <w:sz w:val="43"/>
          <w:szCs w:val="43"/>
        </w:rPr>
        <w:t>年单位预</w:t>
      </w:r>
      <w:r>
        <w:rPr>
          <w:spacing w:val="7"/>
          <w:sz w:val="43"/>
          <w:szCs w:val="43"/>
        </w:rPr>
        <w:t>算信息公开情况说明</w:t>
      </w:r>
    </w:p>
    <w:p>
      <w:pPr>
        <w:pStyle w:val="2"/>
        <w:spacing w:before="112" w:line="226" w:lineRule="auto"/>
        <w:ind w:left="559"/>
      </w:pPr>
      <w:r>
        <w:rPr>
          <w:spacing w:val="-8"/>
        </w:rPr>
        <w:t>按照《</w:t>
      </w:r>
      <w:r>
        <w:rPr>
          <w:rFonts w:hint="eastAsia"/>
          <w:spacing w:val="-8"/>
        </w:rPr>
        <w:t>中华人民共和国预算法</w:t>
      </w:r>
      <w:bookmarkStart w:id="7" w:name="_GoBack"/>
      <w:bookmarkEnd w:id="7"/>
      <w:r>
        <w:rPr>
          <w:spacing w:val="-8"/>
        </w:rPr>
        <w:t>》、《地方预决算公开操作规程》和《关于进一步推进预算公开工作的实施意见》规定 ，现将承德市商务</w:t>
      </w:r>
    </w:p>
    <w:p>
      <w:pPr>
        <w:pStyle w:val="2"/>
        <w:spacing w:before="97" w:line="199" w:lineRule="auto"/>
      </w:pPr>
      <w:r>
        <w:t xml:space="preserve">局劳动就业指导服务中心 </w:t>
      </w:r>
      <w:r>
        <w:rPr>
          <w:rFonts w:ascii="Times New Roman" w:hAnsi="Times New Roman" w:eastAsia="Times New Roman" w:cs="Times New Roman"/>
        </w:rPr>
        <w:t>202</w:t>
      </w:r>
      <w:r>
        <w:rPr>
          <w:rFonts w:hint="eastAsia" w:ascii="Times New Roman" w:hAnsi="Times New Roman" w:eastAsia="宋体" w:cs="Times New Roman"/>
          <w:lang w:val="en-US" w:eastAsia="zh-CN"/>
        </w:rPr>
        <w:t>4</w:t>
      </w:r>
      <w:r>
        <w:rPr>
          <w:rFonts w:ascii="Times New Roman" w:hAnsi="Times New Roman" w:eastAsia="Times New Roman" w:cs="Times New Roman"/>
        </w:rPr>
        <w:t xml:space="preserve"> </w:t>
      </w:r>
      <w:r>
        <w:t>年单位预算公开如下：</w:t>
      </w:r>
    </w:p>
    <w:p>
      <w:pPr>
        <w:spacing w:line="226" w:lineRule="auto"/>
        <w:ind w:left="654"/>
        <w:rPr>
          <w:rFonts w:ascii="黑体" w:hAnsi="黑体" w:eastAsia="黑体" w:cs="黑体"/>
          <w:sz w:val="31"/>
          <w:szCs w:val="31"/>
        </w:rPr>
      </w:pPr>
      <w:r>
        <w:rPr>
          <w:rFonts w:ascii="黑体" w:hAnsi="黑体" w:eastAsia="黑体" w:cs="黑体"/>
          <w:spacing w:val="8"/>
          <w:sz w:val="31"/>
          <w:szCs w:val="31"/>
        </w:rPr>
        <w:t>一、单位职责及机构设置情况</w:t>
      </w:r>
    </w:p>
    <w:p>
      <w:pPr>
        <w:pStyle w:val="2"/>
        <w:spacing w:before="127" w:line="187" w:lineRule="auto"/>
        <w:ind w:left="642"/>
        <w:rPr>
          <w:sz w:val="31"/>
          <w:szCs w:val="31"/>
        </w:rPr>
      </w:pPr>
      <w:r>
        <w:rPr>
          <w:b/>
          <w:bCs/>
          <w:spacing w:val="3"/>
          <w:sz w:val="31"/>
          <w:szCs w:val="31"/>
        </w:rPr>
        <w:t>单位职责 ：</w:t>
      </w:r>
    </w:p>
    <w:p>
      <w:pPr>
        <w:pStyle w:val="2"/>
        <w:spacing w:before="164" w:line="250" w:lineRule="auto"/>
        <w:ind w:left="5" w:right="153" w:firstLine="553"/>
        <w:jc w:val="both"/>
      </w:pPr>
      <w:r>
        <w:rPr>
          <w:spacing w:val="-4"/>
        </w:rPr>
        <w:t>我单位主要职责 ：宣传贯彻国家有关劳动就业服务方面的政策法规 ，为本系统待业青年和下岗职工提供服务保障监管</w:t>
      </w:r>
      <w:r>
        <w:rPr>
          <w:spacing w:val="3"/>
        </w:rPr>
        <w:t xml:space="preserve"> </w:t>
      </w:r>
      <w:r>
        <w:rPr>
          <w:spacing w:val="-5"/>
        </w:rPr>
        <w:t>青年档案 ，负责办理区内外中介服务和劳动用工手续 ，负责收集、发布劳动力供需</w:t>
      </w:r>
      <w:r>
        <w:rPr>
          <w:spacing w:val="-6"/>
        </w:rPr>
        <w:t>信息 ，为下岗职工再就业者组织安排培</w:t>
      </w:r>
      <w:r>
        <w:rPr>
          <w:spacing w:val="-1"/>
        </w:rPr>
        <w:t>训等专项服务。</w:t>
      </w:r>
    </w:p>
    <w:p>
      <w:pPr>
        <w:spacing w:line="465" w:lineRule="auto"/>
        <w:rPr>
          <w:rFonts w:ascii="Arial"/>
          <w:sz w:val="21"/>
        </w:rPr>
      </w:pPr>
    </w:p>
    <w:p>
      <w:pPr>
        <w:pStyle w:val="2"/>
        <w:spacing w:before="133" w:line="187" w:lineRule="auto"/>
        <w:ind w:left="641"/>
        <w:rPr>
          <w:sz w:val="31"/>
          <w:szCs w:val="31"/>
        </w:rPr>
      </w:pPr>
      <w:r>
        <w:rPr>
          <w:b/>
          <w:bCs/>
          <w:spacing w:val="3"/>
          <w:sz w:val="31"/>
          <w:szCs w:val="31"/>
        </w:rPr>
        <w:t>机构设置 ：</w:t>
      </w:r>
    </w:p>
    <w:p>
      <w:pPr>
        <w:pStyle w:val="2"/>
        <w:spacing w:before="136" w:line="187" w:lineRule="auto"/>
        <w:ind w:left="6122"/>
        <w:rPr>
          <w:sz w:val="31"/>
          <w:szCs w:val="31"/>
        </w:rPr>
      </w:pPr>
      <w:r>
        <w:rPr>
          <w:spacing w:val="8"/>
          <w:sz w:val="31"/>
          <w:szCs w:val="31"/>
        </w:rPr>
        <w:t>单位机构设置情况</w:t>
      </w:r>
    </w:p>
    <w:p>
      <w:pPr>
        <w:spacing w:line="41" w:lineRule="auto"/>
        <w:rPr>
          <w:rFonts w:ascii="Arial"/>
          <w:sz w:val="2"/>
        </w:rPr>
      </w:pPr>
    </w:p>
    <w:tbl>
      <w:tblPr>
        <w:tblStyle w:val="5"/>
        <w:tblW w:w="9860" w:type="dxa"/>
        <w:tblInd w:w="24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9"/>
        <w:gridCol w:w="2461"/>
        <w:gridCol w:w="246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2469" w:type="dxa"/>
            <w:vAlign w:val="top"/>
          </w:tcPr>
          <w:p>
            <w:pPr>
              <w:pStyle w:val="6"/>
              <w:spacing w:before="193" w:line="189" w:lineRule="auto"/>
              <w:ind w:left="812"/>
            </w:pPr>
            <w:r>
              <w:rPr>
                <w:b/>
                <w:bCs/>
                <w:spacing w:val="8"/>
              </w:rPr>
              <w:t>单位名称</w:t>
            </w:r>
          </w:p>
        </w:tc>
        <w:tc>
          <w:tcPr>
            <w:tcW w:w="2461" w:type="dxa"/>
            <w:vAlign w:val="top"/>
          </w:tcPr>
          <w:p>
            <w:pPr>
              <w:pStyle w:val="6"/>
              <w:spacing w:before="193" w:line="189" w:lineRule="auto"/>
              <w:ind w:left="807"/>
            </w:pPr>
            <w:r>
              <w:rPr>
                <w:b/>
                <w:bCs/>
                <w:spacing w:val="8"/>
              </w:rPr>
              <w:t>单位性质</w:t>
            </w:r>
          </w:p>
        </w:tc>
        <w:tc>
          <w:tcPr>
            <w:tcW w:w="2461" w:type="dxa"/>
            <w:vAlign w:val="top"/>
          </w:tcPr>
          <w:p>
            <w:pPr>
              <w:pStyle w:val="6"/>
              <w:spacing w:before="193" w:line="189" w:lineRule="auto"/>
              <w:ind w:left="811"/>
            </w:pPr>
            <w:r>
              <w:rPr>
                <w:b/>
                <w:bCs/>
                <w:spacing w:val="8"/>
              </w:rPr>
              <w:t>单位规格</w:t>
            </w:r>
          </w:p>
        </w:tc>
        <w:tc>
          <w:tcPr>
            <w:tcW w:w="2469" w:type="dxa"/>
            <w:vAlign w:val="top"/>
          </w:tcPr>
          <w:p>
            <w:pPr>
              <w:pStyle w:val="6"/>
              <w:spacing w:before="193" w:line="189" w:lineRule="auto"/>
              <w:ind w:left="601"/>
            </w:pPr>
            <w:r>
              <w:rPr>
                <w:b/>
                <w:bCs/>
                <w:spacing w:val="9"/>
              </w:rPr>
              <w:t>经费保障形式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469" w:type="dxa"/>
            <w:vAlign w:val="top"/>
          </w:tcPr>
          <w:p>
            <w:pPr>
              <w:pStyle w:val="6"/>
              <w:spacing w:before="87" w:line="220" w:lineRule="auto"/>
              <w:ind w:left="107" w:right="256"/>
            </w:pPr>
            <w:r>
              <w:rPr>
                <w:spacing w:val="9"/>
              </w:rPr>
              <w:t>承德市商务局劳动就业</w:t>
            </w:r>
            <w:r>
              <w:rPr>
                <w:spacing w:val="4"/>
              </w:rPr>
              <w:t xml:space="preserve"> </w:t>
            </w:r>
            <w:r>
              <w:rPr>
                <w:spacing w:val="9"/>
              </w:rPr>
              <w:t>指导服务中心</w:t>
            </w:r>
          </w:p>
        </w:tc>
        <w:tc>
          <w:tcPr>
            <w:tcW w:w="2461" w:type="dxa"/>
            <w:vAlign w:val="top"/>
          </w:tcPr>
          <w:p>
            <w:pPr>
              <w:pStyle w:val="6"/>
              <w:spacing w:before="269" w:line="188" w:lineRule="auto"/>
              <w:ind w:left="1017"/>
            </w:pPr>
            <w:r>
              <w:rPr>
                <w:spacing w:val="6"/>
              </w:rPr>
              <w:t>事业</w:t>
            </w:r>
          </w:p>
        </w:tc>
        <w:tc>
          <w:tcPr>
            <w:tcW w:w="2461" w:type="dxa"/>
            <w:vAlign w:val="top"/>
          </w:tcPr>
          <w:p>
            <w:pPr>
              <w:pStyle w:val="6"/>
              <w:spacing w:before="268" w:line="189" w:lineRule="auto"/>
              <w:ind w:left="914"/>
            </w:pPr>
            <w:r>
              <w:rPr>
                <w:spacing w:val="8"/>
              </w:rPr>
              <w:t>正科级</w:t>
            </w:r>
          </w:p>
        </w:tc>
        <w:tc>
          <w:tcPr>
            <w:tcW w:w="2469" w:type="dxa"/>
            <w:vAlign w:val="top"/>
          </w:tcPr>
          <w:p>
            <w:pPr>
              <w:pStyle w:val="6"/>
              <w:spacing w:before="87" w:line="220" w:lineRule="auto"/>
              <w:ind w:left="1022" w:right="180" w:hanging="838"/>
            </w:pPr>
            <w:r>
              <w:rPr>
                <w:spacing w:val="9"/>
              </w:rPr>
              <w:t>财政性资金定额或定项</w:t>
            </w:r>
            <w:r>
              <w:rPr>
                <w:spacing w:val="2"/>
              </w:rPr>
              <w:t xml:space="preserve"> </w:t>
            </w:r>
            <w:r>
              <w:rPr>
                <w:spacing w:val="7"/>
              </w:rPr>
              <w:t>补助</w:t>
            </w:r>
          </w:p>
        </w:tc>
      </w:tr>
    </w:tbl>
    <w:p>
      <w:pPr>
        <w:spacing w:before="58" w:line="227" w:lineRule="auto"/>
        <w:ind w:left="654"/>
        <w:rPr>
          <w:rFonts w:ascii="黑体" w:hAnsi="黑体" w:eastAsia="黑体" w:cs="黑体"/>
          <w:sz w:val="31"/>
          <w:szCs w:val="31"/>
        </w:rPr>
      </w:pPr>
      <w:r>
        <w:rPr>
          <w:rFonts w:ascii="黑体" w:hAnsi="黑体" w:eastAsia="黑体" w:cs="黑体"/>
          <w:spacing w:val="8"/>
          <w:sz w:val="31"/>
          <w:szCs w:val="31"/>
        </w:rPr>
        <w:t>二、单位预算安排的总体情况</w:t>
      </w:r>
    </w:p>
    <w:p>
      <w:pPr>
        <w:pStyle w:val="2"/>
        <w:spacing w:before="156" w:line="224" w:lineRule="auto"/>
        <w:ind w:left="559"/>
      </w:pPr>
      <w:r>
        <w:rPr>
          <w:spacing w:val="-3"/>
        </w:rPr>
        <w:t>按照预算管理有关规定 ，目前我单位预算的编制实行综合预算管理</w:t>
      </w:r>
      <w:r>
        <w:rPr>
          <w:spacing w:val="-15"/>
        </w:rPr>
        <w:t xml:space="preserve"> </w:t>
      </w:r>
      <w:r>
        <w:rPr>
          <w:spacing w:val="-3"/>
        </w:rPr>
        <w:t>，即</w:t>
      </w:r>
      <w:r>
        <w:rPr>
          <w:spacing w:val="-4"/>
        </w:rPr>
        <w:t>全部收入和支出都反映在预算中。</w:t>
      </w:r>
    </w:p>
    <w:p>
      <w:pPr>
        <w:pStyle w:val="2"/>
        <w:spacing w:before="1" w:line="221" w:lineRule="auto"/>
        <w:ind w:left="528"/>
      </w:pPr>
      <w:r>
        <w:rPr>
          <w:spacing w:val="-16"/>
        </w:rPr>
        <w:t>（ 一</w:t>
      </w:r>
      <w:r>
        <w:rPr>
          <w:spacing w:val="-11"/>
        </w:rPr>
        <w:t xml:space="preserve"> </w:t>
      </w:r>
      <w:r>
        <w:rPr>
          <w:spacing w:val="-16"/>
        </w:rPr>
        <w:t>）收入说明</w:t>
      </w:r>
    </w:p>
    <w:p>
      <w:pPr>
        <w:pStyle w:val="2"/>
        <w:spacing w:before="164" w:line="250" w:lineRule="auto"/>
        <w:ind w:left="5" w:right="153" w:firstLine="553"/>
        <w:jc w:val="both"/>
        <w:rPr>
          <w:rFonts w:hint="eastAsia"/>
          <w:spacing w:val="-4"/>
        </w:rPr>
      </w:pPr>
      <w:r>
        <w:rPr>
          <w:spacing w:val="-4"/>
        </w:rPr>
        <w:t>反映本单位当年全部收入。2024年预算收入</w:t>
      </w:r>
      <w:r>
        <w:rPr>
          <w:rFonts w:hint="eastAsia"/>
          <w:spacing w:val="-4"/>
          <w:lang w:val="en-US" w:eastAsia="zh-CN"/>
        </w:rPr>
        <w:t>93.87万元</w:t>
      </w:r>
      <w:r>
        <w:rPr>
          <w:spacing w:val="-4"/>
        </w:rPr>
        <w:t>，其中：一般公共预算收入</w:t>
      </w:r>
      <w:r>
        <w:rPr>
          <w:rFonts w:hint="eastAsia"/>
          <w:spacing w:val="-4"/>
          <w:lang w:val="en-US" w:eastAsia="zh-CN"/>
        </w:rPr>
        <w:t>93.87万元</w:t>
      </w:r>
      <w:r>
        <w:rPr>
          <w:spacing w:val="-4"/>
        </w:rPr>
        <w:t>，基金预算收入</w:t>
      </w:r>
      <w:r>
        <w:rPr>
          <w:rFonts w:hint="eastAsia"/>
          <w:spacing w:val="-4"/>
          <w:lang w:val="en-US" w:eastAsia="zh-CN"/>
        </w:rPr>
        <w:t>0.00万元</w:t>
      </w:r>
      <w:r>
        <w:rPr>
          <w:spacing w:val="-4"/>
        </w:rPr>
        <w:t>， 国有资本经营预算收入</w:t>
      </w:r>
      <w:r>
        <w:rPr>
          <w:rFonts w:hint="eastAsia"/>
          <w:spacing w:val="-4"/>
          <w:lang w:val="en-US" w:eastAsia="zh-CN"/>
        </w:rPr>
        <w:t>0.00万元</w:t>
      </w:r>
      <w:r>
        <w:rPr>
          <w:spacing w:val="-4"/>
        </w:rPr>
        <w:t>，财政专户核拨收入</w:t>
      </w:r>
      <w:r>
        <w:rPr>
          <w:rFonts w:hint="eastAsia"/>
          <w:spacing w:val="-4"/>
          <w:lang w:val="en-US" w:eastAsia="zh-CN"/>
        </w:rPr>
        <w:t>0.00万元</w:t>
      </w:r>
      <w:r>
        <w:rPr>
          <w:spacing w:val="-4"/>
        </w:rPr>
        <w:t>，单位资金收入</w:t>
      </w:r>
      <w:r>
        <w:rPr>
          <w:rFonts w:hint="eastAsia"/>
          <w:spacing w:val="-4"/>
          <w:lang w:val="en-US" w:eastAsia="zh-CN"/>
        </w:rPr>
        <w:t>0.00万元</w:t>
      </w:r>
      <w:r>
        <w:rPr>
          <w:spacing w:val="-4"/>
        </w:rPr>
        <w:t>，上年结转结余</w:t>
      </w:r>
      <w:r>
        <w:rPr>
          <w:rFonts w:hint="eastAsia"/>
          <w:spacing w:val="-4"/>
          <w:lang w:val="en-US" w:eastAsia="zh-CN"/>
        </w:rPr>
        <w:t>0.00万元</w:t>
      </w:r>
      <w:r>
        <w:rPr>
          <w:spacing w:val="-4"/>
        </w:rPr>
        <w:t>。</w:t>
      </w:r>
      <w:r>
        <w:rPr>
          <w:rFonts w:hint="eastAsia"/>
          <w:spacing w:val="-4"/>
        </w:rPr>
        <w:br w:type="textWrapping"/>
      </w:r>
    </w:p>
    <w:p>
      <w:pPr>
        <w:pStyle w:val="2"/>
        <w:spacing w:before="164" w:line="250" w:lineRule="auto"/>
        <w:ind w:left="5" w:right="153" w:firstLine="553"/>
        <w:jc w:val="both"/>
        <w:rPr>
          <w:rFonts w:hint="eastAsia"/>
          <w:spacing w:val="-4"/>
        </w:rPr>
      </w:pPr>
    </w:p>
    <w:p>
      <w:pPr>
        <w:pStyle w:val="2"/>
        <w:spacing w:before="164" w:line="250" w:lineRule="auto"/>
        <w:ind w:left="5" w:right="153" w:firstLine="553"/>
        <w:jc w:val="both"/>
        <w:rPr>
          <w:spacing w:val="-4"/>
        </w:rPr>
      </w:pPr>
      <w:r>
        <w:rPr>
          <w:spacing w:val="-4"/>
        </w:rPr>
        <w:t>（ 二 ）支出说明</w:t>
      </w:r>
    </w:p>
    <w:p>
      <w:pPr>
        <w:pStyle w:val="2"/>
        <w:spacing w:before="164" w:line="250" w:lineRule="auto"/>
        <w:ind w:left="5" w:right="153" w:firstLine="553"/>
        <w:jc w:val="both"/>
        <w:rPr>
          <w:spacing w:val="-4"/>
        </w:rPr>
      </w:pPr>
      <w:r>
        <w:rPr>
          <w:spacing w:val="-4"/>
        </w:rPr>
        <w:t> </w:t>
      </w:r>
      <w:r>
        <w:rPr>
          <w:rFonts w:hint="eastAsia"/>
          <w:spacing w:val="-4"/>
          <w:lang w:val="en-US" w:eastAsia="zh-CN"/>
        </w:rPr>
        <w:t xml:space="preserve"> </w:t>
      </w:r>
      <w:r>
        <w:rPr>
          <w:spacing w:val="-4"/>
        </w:rPr>
        <w:t>收支预算总表支出栏、基本支出表、项目支出表按经济分类和支出功能分类科目编制，反映承德市商务局劳动就业指导服务中心年度单位预算中支出预算的总体情况。 2024年支出预算93.87万元，其中基本支出77.27万元，包括人员经费77.27万元和日常公用经费0.00万元；项目支出16.60万元，全部为本级支出。</w:t>
      </w:r>
    </w:p>
    <w:p>
      <w:pPr>
        <w:pStyle w:val="2"/>
        <w:spacing w:before="80" w:line="221" w:lineRule="auto"/>
        <w:ind w:left="527"/>
      </w:pPr>
      <w:r>
        <w:rPr>
          <w:spacing w:val="-12"/>
        </w:rPr>
        <w:t>（ 三 ）比上年增减情况</w:t>
      </w:r>
    </w:p>
    <w:p>
      <w:pPr>
        <w:pStyle w:val="2"/>
        <w:spacing w:before="109" w:line="499" w:lineRule="exact"/>
        <w:jc w:val="right"/>
      </w:pPr>
      <w:r>
        <w:rPr>
          <w:rFonts w:ascii="Times New Roman" w:hAnsi="Times New Roman" w:eastAsia="Times New Roman" w:cs="Times New Roman"/>
          <w:spacing w:val="-7"/>
          <w:position w:val="16"/>
        </w:rPr>
        <w:t>2</w:t>
      </w:r>
      <w:r>
        <w:rPr>
          <w:rFonts w:ascii="Times New Roman" w:hAnsi="Times New Roman" w:eastAsia="Times New Roman" w:cs="Times New Roman"/>
          <w:spacing w:val="-6"/>
          <w:position w:val="16"/>
        </w:rPr>
        <w:t>02</w:t>
      </w:r>
      <w:r>
        <w:rPr>
          <w:rFonts w:hint="eastAsia" w:ascii="Times New Roman" w:hAnsi="Times New Roman" w:eastAsia="宋体" w:cs="Times New Roman"/>
          <w:spacing w:val="-6"/>
          <w:position w:val="16"/>
          <w:lang w:val="en-US" w:eastAsia="zh-CN"/>
        </w:rPr>
        <w:t>4</w:t>
      </w:r>
      <w:r>
        <w:rPr>
          <w:rFonts w:ascii="Times New Roman" w:hAnsi="Times New Roman" w:eastAsia="Times New Roman" w:cs="Times New Roman"/>
          <w:spacing w:val="-6"/>
          <w:position w:val="16"/>
        </w:rPr>
        <w:t xml:space="preserve"> </w:t>
      </w:r>
      <w:r>
        <w:rPr>
          <w:spacing w:val="-6"/>
          <w:position w:val="16"/>
        </w:rPr>
        <w:t xml:space="preserve">年预算收支安排 </w:t>
      </w:r>
      <w:r>
        <w:rPr>
          <w:rFonts w:hint="eastAsia" w:ascii="Times New Roman" w:hAnsi="Times New Roman" w:eastAsia="宋体" w:cs="Times New Roman"/>
          <w:spacing w:val="-6"/>
          <w:position w:val="16"/>
          <w:lang w:val="en-US" w:eastAsia="zh-CN"/>
        </w:rPr>
        <w:t>93.87</w:t>
      </w:r>
      <w:r>
        <w:rPr>
          <w:spacing w:val="-6"/>
          <w:position w:val="16"/>
        </w:rPr>
        <w:t xml:space="preserve">万元 ，较 </w:t>
      </w:r>
      <w:r>
        <w:rPr>
          <w:rFonts w:ascii="Times New Roman" w:hAnsi="Times New Roman" w:eastAsia="Times New Roman" w:cs="Times New Roman"/>
          <w:spacing w:val="-6"/>
          <w:position w:val="16"/>
        </w:rPr>
        <w:t>202</w:t>
      </w:r>
      <w:r>
        <w:rPr>
          <w:rFonts w:hint="eastAsia" w:ascii="Times New Roman" w:hAnsi="Times New Roman" w:eastAsia="宋体" w:cs="Times New Roman"/>
          <w:spacing w:val="-6"/>
          <w:position w:val="16"/>
          <w:lang w:val="en-US" w:eastAsia="zh-CN"/>
        </w:rPr>
        <w:t>3</w:t>
      </w:r>
      <w:r>
        <w:rPr>
          <w:spacing w:val="-6"/>
          <w:position w:val="16"/>
        </w:rPr>
        <w:t>年</w:t>
      </w:r>
      <w:r>
        <w:rPr>
          <w:spacing w:val="-7"/>
          <w:position w:val="16"/>
        </w:rPr>
        <w:t>预算</w:t>
      </w:r>
      <w:r>
        <w:rPr>
          <w:rFonts w:hint="eastAsia"/>
          <w:spacing w:val="-7"/>
          <w:position w:val="16"/>
          <w:lang w:eastAsia="zh-CN"/>
        </w:rPr>
        <w:t>减少</w:t>
      </w:r>
      <w:r>
        <w:rPr>
          <w:rFonts w:hint="eastAsia"/>
          <w:spacing w:val="-7"/>
          <w:position w:val="16"/>
          <w:lang w:val="en-US" w:eastAsia="zh-CN"/>
        </w:rPr>
        <w:t>5.28</w:t>
      </w:r>
      <w:r>
        <w:rPr>
          <w:rFonts w:ascii="Times New Roman" w:hAnsi="Times New Roman" w:eastAsia="Times New Roman" w:cs="Times New Roman"/>
          <w:spacing w:val="-7"/>
          <w:position w:val="16"/>
        </w:rPr>
        <w:t xml:space="preserve"> </w:t>
      </w:r>
      <w:r>
        <w:rPr>
          <w:spacing w:val="-7"/>
          <w:position w:val="16"/>
        </w:rPr>
        <w:t>万元 ，其中 ：基本支出增加</w:t>
      </w:r>
      <w:r>
        <w:rPr>
          <w:spacing w:val="20"/>
          <w:position w:val="16"/>
        </w:rPr>
        <w:t xml:space="preserve"> </w:t>
      </w:r>
      <w:r>
        <w:rPr>
          <w:rFonts w:hint="eastAsia" w:ascii="Times New Roman" w:hAnsi="Times New Roman" w:eastAsia="宋体" w:cs="Times New Roman"/>
          <w:spacing w:val="-7"/>
          <w:position w:val="16"/>
          <w:lang w:val="en-US" w:eastAsia="zh-CN"/>
        </w:rPr>
        <w:t>2.43</w:t>
      </w:r>
      <w:r>
        <w:rPr>
          <w:rFonts w:ascii="Times New Roman" w:hAnsi="Times New Roman" w:eastAsia="Times New Roman" w:cs="Times New Roman"/>
          <w:spacing w:val="-7"/>
          <w:position w:val="16"/>
        </w:rPr>
        <w:t xml:space="preserve"> </w:t>
      </w:r>
      <w:r>
        <w:rPr>
          <w:spacing w:val="-7"/>
          <w:position w:val="16"/>
        </w:rPr>
        <w:t>万元 ，主要为增加人</w:t>
      </w:r>
      <w:r>
        <w:rPr>
          <w:spacing w:val="-6"/>
          <w:position w:val="16"/>
        </w:rPr>
        <w:t>员</w:t>
      </w:r>
    </w:p>
    <w:p>
      <w:pPr>
        <w:pStyle w:val="2"/>
        <w:spacing w:line="184" w:lineRule="auto"/>
        <w:ind w:left="1"/>
      </w:pPr>
      <w:r>
        <w:rPr>
          <w:spacing w:val="-2"/>
        </w:rPr>
        <w:t xml:space="preserve">经费支出；项目支出较 </w:t>
      </w:r>
      <w:r>
        <w:rPr>
          <w:rFonts w:ascii="Times New Roman" w:hAnsi="Times New Roman" w:eastAsia="Times New Roman" w:cs="Times New Roman"/>
          <w:spacing w:val="-2"/>
        </w:rPr>
        <w:t>202</w:t>
      </w:r>
      <w:r>
        <w:rPr>
          <w:rFonts w:hint="eastAsia" w:ascii="Times New Roman" w:hAnsi="Times New Roman" w:eastAsia="宋体" w:cs="Times New Roman"/>
          <w:spacing w:val="-2"/>
          <w:lang w:val="en-US" w:eastAsia="zh-CN"/>
        </w:rPr>
        <w:t>3</w:t>
      </w:r>
      <w:r>
        <w:rPr>
          <w:rFonts w:ascii="Times New Roman" w:hAnsi="Times New Roman" w:eastAsia="Times New Roman" w:cs="Times New Roman"/>
          <w:spacing w:val="-2"/>
        </w:rPr>
        <w:t xml:space="preserve"> </w:t>
      </w:r>
      <w:r>
        <w:rPr>
          <w:spacing w:val="-2"/>
        </w:rPr>
        <w:t>年实际安排</w:t>
      </w:r>
      <w:r>
        <w:rPr>
          <w:rFonts w:hint="eastAsia"/>
          <w:spacing w:val="-2"/>
          <w:lang w:eastAsia="zh-CN"/>
        </w:rPr>
        <w:t>减少</w:t>
      </w:r>
      <w:r>
        <w:rPr>
          <w:rFonts w:hint="eastAsia"/>
          <w:spacing w:val="-2"/>
          <w:lang w:val="en-US" w:eastAsia="zh-CN"/>
        </w:rPr>
        <w:t>7.71</w:t>
      </w:r>
      <w:r>
        <w:rPr>
          <w:rFonts w:ascii="Times New Roman" w:hAnsi="Times New Roman" w:eastAsia="Times New Roman" w:cs="Times New Roman"/>
          <w:spacing w:val="-2"/>
        </w:rPr>
        <w:t xml:space="preserve"> </w:t>
      </w:r>
      <w:r>
        <w:rPr>
          <w:spacing w:val="-2"/>
        </w:rPr>
        <w:t>万元</w:t>
      </w:r>
      <w:r>
        <w:rPr>
          <w:spacing w:val="-16"/>
        </w:rPr>
        <w:t xml:space="preserve"> </w:t>
      </w:r>
      <w:r>
        <w:rPr>
          <w:spacing w:val="-2"/>
        </w:rPr>
        <w:t>，主要</w:t>
      </w:r>
      <w:r>
        <w:rPr>
          <w:rFonts w:hint="eastAsia"/>
          <w:spacing w:val="-2"/>
          <w:lang w:eastAsia="zh-CN"/>
        </w:rPr>
        <w:t>原因是</w:t>
      </w:r>
      <w:r>
        <w:rPr>
          <w:rFonts w:hint="eastAsia"/>
          <w:spacing w:val="-2"/>
          <w:lang w:val="en-US" w:eastAsia="zh-CN"/>
        </w:rPr>
        <w:t xml:space="preserve"> 本年度上缴房屋租金减少。</w:t>
      </w:r>
    </w:p>
    <w:p>
      <w:pPr>
        <w:spacing w:line="425" w:lineRule="auto"/>
        <w:rPr>
          <w:rFonts w:ascii="Arial"/>
          <w:sz w:val="21"/>
        </w:rPr>
      </w:pPr>
    </w:p>
    <w:p>
      <w:pPr>
        <w:spacing w:before="101" w:line="539" w:lineRule="exact"/>
        <w:ind w:left="655"/>
        <w:rPr>
          <w:rFonts w:ascii="黑体" w:hAnsi="黑体" w:eastAsia="黑体" w:cs="黑体"/>
          <w:sz w:val="31"/>
          <w:szCs w:val="31"/>
        </w:rPr>
      </w:pPr>
      <w:r>
        <w:rPr>
          <w:rFonts w:ascii="黑体" w:hAnsi="黑体" w:eastAsia="黑体" w:cs="黑体"/>
          <w:spacing w:val="8"/>
          <w:position w:val="16"/>
          <w:sz w:val="31"/>
          <w:szCs w:val="31"/>
        </w:rPr>
        <w:t>三、机关运行经费安排情况</w:t>
      </w:r>
    </w:p>
    <w:p>
      <w:pPr>
        <w:pStyle w:val="2"/>
        <w:spacing w:before="2" w:line="183" w:lineRule="auto"/>
        <w:ind w:left="559"/>
      </w:pPr>
      <w:r>
        <w:rPr>
          <w:spacing w:val="-1"/>
        </w:rPr>
        <w:t>本单位无机关运行经费。</w:t>
      </w:r>
    </w:p>
    <w:p>
      <w:pPr>
        <w:spacing w:line="425" w:lineRule="auto"/>
        <w:rPr>
          <w:rFonts w:ascii="Arial"/>
          <w:sz w:val="21"/>
        </w:rPr>
      </w:pPr>
    </w:p>
    <w:p>
      <w:pPr>
        <w:spacing w:before="101" w:line="538" w:lineRule="exact"/>
        <w:ind w:left="667"/>
        <w:rPr>
          <w:rFonts w:ascii="黑体" w:hAnsi="黑体" w:eastAsia="黑体" w:cs="黑体"/>
          <w:sz w:val="31"/>
          <w:szCs w:val="31"/>
        </w:rPr>
      </w:pPr>
      <w:r>
        <w:rPr>
          <w:rFonts w:ascii="黑体" w:hAnsi="黑体" w:eastAsia="黑体" w:cs="黑体"/>
          <w:spacing w:val="8"/>
          <w:position w:val="16"/>
          <w:sz w:val="31"/>
          <w:szCs w:val="31"/>
        </w:rPr>
        <w:t>四、财政拨款“三公”经费预算情况及增减变化原因</w:t>
      </w:r>
    </w:p>
    <w:p>
      <w:pPr>
        <w:pStyle w:val="2"/>
        <w:spacing w:before="2" w:line="183" w:lineRule="auto"/>
        <w:ind w:left="559"/>
      </w:pPr>
      <w:r>
        <w:rPr>
          <w:spacing w:val="-1"/>
        </w:rPr>
        <w:t>本单位无财政拨款</w:t>
      </w:r>
      <w:r>
        <w:rPr>
          <w:rFonts w:ascii="Times New Roman" w:hAnsi="Times New Roman" w:eastAsia="Times New Roman" w:cs="Times New Roman"/>
          <w:spacing w:val="-1"/>
        </w:rPr>
        <w:t>“</w:t>
      </w:r>
      <w:r>
        <w:rPr>
          <w:spacing w:val="-1"/>
        </w:rPr>
        <w:t>三公</w:t>
      </w:r>
      <w:r>
        <w:rPr>
          <w:rFonts w:ascii="Times New Roman" w:hAnsi="Times New Roman" w:eastAsia="Times New Roman" w:cs="Times New Roman"/>
          <w:spacing w:val="-1"/>
        </w:rPr>
        <w:t>”</w:t>
      </w:r>
      <w:r>
        <w:rPr>
          <w:spacing w:val="-1"/>
        </w:rPr>
        <w:t>经费预算。</w:t>
      </w:r>
    </w:p>
    <w:p>
      <w:pPr>
        <w:spacing w:line="425" w:lineRule="auto"/>
        <w:rPr>
          <w:rFonts w:ascii="Arial"/>
          <w:sz w:val="21"/>
        </w:rPr>
      </w:pPr>
    </w:p>
    <w:p>
      <w:pPr>
        <w:spacing w:before="101" w:line="226" w:lineRule="auto"/>
        <w:ind w:left="657"/>
        <w:rPr>
          <w:rFonts w:ascii="黑体" w:hAnsi="黑体" w:eastAsia="黑体" w:cs="黑体"/>
          <w:sz w:val="31"/>
          <w:szCs w:val="31"/>
        </w:rPr>
      </w:pPr>
      <w:r>
        <w:rPr>
          <w:rFonts w:ascii="黑体" w:hAnsi="黑体" w:eastAsia="黑体" w:cs="黑体"/>
          <w:spacing w:val="7"/>
          <w:sz w:val="31"/>
          <w:szCs w:val="31"/>
        </w:rPr>
        <w:t>五、预算绩效信息</w:t>
      </w: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numPr>
          <w:ilvl w:val="0"/>
          <w:numId w:val="1"/>
        </w:numPr>
        <w:ind w:firstLine="1582" w:firstLineChars="565"/>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弥补人员工资绩效目标表</w:t>
      </w:r>
    </w:p>
    <w:p>
      <w:pPr>
        <w:numPr>
          <w:ilvl w:val="0"/>
          <w:numId w:val="0"/>
        </w:numPr>
        <w:outlineLvl w:val="3"/>
        <w:rPr>
          <w:rFonts w:ascii="方正仿宋_GBK" w:hAnsi="方正仿宋_GBK" w:eastAsia="方正仿宋_GBK" w:cs="方正仿宋_GBK"/>
          <w:color w:val="000000"/>
          <w:sz w:val="28"/>
        </w:rPr>
      </w:pP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9"/>
            </w:pPr>
            <w:r>
              <w:t>482003承德市商务局劳动就业指导服务中心</w:t>
            </w:r>
          </w:p>
        </w:tc>
        <w:tc>
          <w:tcPr>
            <w:tcW w:w="1843" w:type="dxa"/>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2608" w:type="dxa"/>
            <w:gridSpan w:val="2"/>
            <w:vAlign w:val="center"/>
          </w:tcPr>
          <w:p>
            <w:pPr>
              <w:pStyle w:val="12"/>
            </w:pPr>
            <w:r>
              <w:t>13080024P000016100050</w:t>
            </w:r>
          </w:p>
        </w:tc>
        <w:tc>
          <w:tcPr>
            <w:tcW w:w="1587" w:type="dxa"/>
            <w:vAlign w:val="center"/>
          </w:tcPr>
          <w:p>
            <w:pPr>
              <w:pStyle w:val="11"/>
            </w:pPr>
            <w:r>
              <w:t>项目名称</w:t>
            </w:r>
          </w:p>
        </w:tc>
        <w:tc>
          <w:tcPr>
            <w:tcW w:w="4422" w:type="dxa"/>
            <w:gridSpan w:val="3"/>
            <w:vAlign w:val="center"/>
          </w:tcPr>
          <w:p>
            <w:pPr>
              <w:pStyle w:val="12"/>
            </w:pPr>
            <w:r>
              <w:t>弥补人员工资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1276" w:type="dxa"/>
            <w:vAlign w:val="center"/>
          </w:tcPr>
          <w:p>
            <w:pPr>
              <w:pStyle w:val="11"/>
            </w:pPr>
            <w:r>
              <w:t>预算数</w:t>
            </w:r>
          </w:p>
        </w:tc>
        <w:tc>
          <w:tcPr>
            <w:tcW w:w="1332" w:type="dxa"/>
            <w:vAlign w:val="center"/>
          </w:tcPr>
          <w:p>
            <w:pPr>
              <w:pStyle w:val="12"/>
            </w:pPr>
            <w:r>
              <w:t>16.60</w:t>
            </w:r>
          </w:p>
        </w:tc>
        <w:tc>
          <w:tcPr>
            <w:tcW w:w="1587" w:type="dxa"/>
            <w:vAlign w:val="center"/>
          </w:tcPr>
          <w:p>
            <w:pPr>
              <w:pStyle w:val="11"/>
            </w:pPr>
            <w:r>
              <w:t>其中：财政    资金</w:t>
            </w:r>
          </w:p>
        </w:tc>
        <w:tc>
          <w:tcPr>
            <w:tcW w:w="1304" w:type="dxa"/>
            <w:vAlign w:val="center"/>
          </w:tcPr>
          <w:p>
            <w:pPr>
              <w:pStyle w:val="12"/>
            </w:pPr>
            <w:r>
              <w:t>16.60</w:t>
            </w:r>
          </w:p>
        </w:tc>
        <w:tc>
          <w:tcPr>
            <w:tcW w:w="1276" w:type="dxa"/>
            <w:vAlign w:val="center"/>
          </w:tcPr>
          <w:p>
            <w:pPr>
              <w:pStyle w:val="11"/>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弥补人员工资，保障单位正常运转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2608" w:type="dxa"/>
            <w:gridSpan w:val="2"/>
            <w:vAlign w:val="center"/>
          </w:tcPr>
          <w:p>
            <w:pPr>
              <w:pStyle w:val="11"/>
            </w:pPr>
            <w:r>
              <w:t>3月底</w:t>
            </w:r>
          </w:p>
        </w:tc>
        <w:tc>
          <w:tcPr>
            <w:tcW w:w="1587" w:type="dxa"/>
            <w:vAlign w:val="center"/>
          </w:tcPr>
          <w:p>
            <w:pPr>
              <w:pStyle w:val="11"/>
            </w:pPr>
            <w:r>
              <w:t>6月底</w:t>
            </w:r>
          </w:p>
        </w:tc>
        <w:tc>
          <w:tcPr>
            <w:tcW w:w="1304" w:type="dxa"/>
            <w:vAlign w:val="center"/>
          </w:tcPr>
          <w:p>
            <w:pPr>
              <w:pStyle w:val="11"/>
            </w:pPr>
            <w:r>
              <w:t>10月底</w:t>
            </w:r>
          </w:p>
        </w:tc>
        <w:tc>
          <w:tcPr>
            <w:tcW w:w="311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 xml:space="preserve"> </w:t>
            </w:r>
          </w:p>
        </w:tc>
        <w:tc>
          <w:tcPr>
            <w:tcW w:w="1304" w:type="dxa"/>
            <w:vAlign w:val="center"/>
          </w:tcPr>
          <w:p>
            <w:pPr>
              <w:pStyle w:val="13"/>
            </w:pPr>
            <w:r>
              <w:t xml:space="preserve"> </w:t>
            </w:r>
          </w:p>
        </w:tc>
        <w:tc>
          <w:tcPr>
            <w:tcW w:w="3118"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8617" w:type="dxa"/>
            <w:gridSpan w:val="6"/>
            <w:vAlign w:val="center"/>
          </w:tcPr>
          <w:p>
            <w:pPr>
              <w:pStyle w:val="12"/>
            </w:pPr>
            <w:r>
              <w:t>1.弥补人员工资，保障单位正常运转</w:t>
            </w:r>
          </w:p>
        </w:tc>
      </w:tr>
    </w:tbl>
    <w:p>
      <w:pPr>
        <w:spacing w:line="2" w:lineRule="exact"/>
        <w:jc w:val="center"/>
      </w:pPr>
      <w:r>
        <w:rPr>
          <w:rFonts w:ascii="方正书宋_GBK" w:hAnsi="方正书宋_GBK" w:eastAsia="方正书宋_GBK" w:cs="方正书宋_GBK"/>
          <w:color w:val="000000"/>
          <w:sz w:val="21"/>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1276" w:type="dxa"/>
            <w:vAlign w:val="center"/>
          </w:tcPr>
          <w:p>
            <w:pPr>
              <w:pStyle w:val="11"/>
            </w:pPr>
            <w:r>
              <w:t>二级指标</w:t>
            </w:r>
          </w:p>
        </w:tc>
        <w:tc>
          <w:tcPr>
            <w:tcW w:w="1332" w:type="dxa"/>
            <w:vAlign w:val="center"/>
          </w:tcPr>
          <w:p>
            <w:pPr>
              <w:pStyle w:val="11"/>
            </w:pPr>
            <w:r>
              <w:t>三级指标</w:t>
            </w:r>
          </w:p>
        </w:tc>
        <w:tc>
          <w:tcPr>
            <w:tcW w:w="2891" w:type="dxa"/>
            <w:vAlign w:val="center"/>
          </w:tcPr>
          <w:p>
            <w:pPr>
              <w:pStyle w:val="11"/>
            </w:pPr>
            <w:r>
              <w:t>绩效指标描述</w:t>
            </w:r>
          </w:p>
        </w:tc>
        <w:tc>
          <w:tcPr>
            <w:tcW w:w="1276" w:type="dxa"/>
            <w:vAlign w:val="center"/>
          </w:tcPr>
          <w:p>
            <w:pPr>
              <w:pStyle w:val="11"/>
            </w:pPr>
            <w:r>
              <w:t>指标值</w:t>
            </w:r>
          </w:p>
        </w:tc>
        <w:tc>
          <w:tcPr>
            <w:tcW w:w="1843"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在岗在编人员数量</w:t>
            </w:r>
          </w:p>
        </w:tc>
        <w:tc>
          <w:tcPr>
            <w:tcW w:w="2891" w:type="dxa"/>
            <w:vAlign w:val="center"/>
          </w:tcPr>
          <w:p>
            <w:pPr>
              <w:pStyle w:val="12"/>
            </w:pPr>
            <w:r>
              <w:t>在岗在编人员数量情况</w:t>
            </w:r>
          </w:p>
        </w:tc>
        <w:tc>
          <w:tcPr>
            <w:tcW w:w="1276" w:type="dxa"/>
            <w:vAlign w:val="center"/>
          </w:tcPr>
          <w:p>
            <w:pPr>
              <w:pStyle w:val="12"/>
            </w:pPr>
            <w:r>
              <w:t>24人</w:t>
            </w:r>
          </w:p>
        </w:tc>
        <w:tc>
          <w:tcPr>
            <w:tcW w:w="1843" w:type="dxa"/>
            <w:vAlign w:val="center"/>
          </w:tcPr>
          <w:p>
            <w:pPr>
              <w:pStyle w:val="12"/>
            </w:pPr>
            <w:r>
              <w:t>单位人员工资审批表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出勤率</w:t>
            </w:r>
          </w:p>
        </w:tc>
        <w:tc>
          <w:tcPr>
            <w:tcW w:w="2891" w:type="dxa"/>
            <w:vAlign w:val="center"/>
          </w:tcPr>
          <w:p>
            <w:pPr>
              <w:pStyle w:val="12"/>
            </w:pPr>
            <w:r>
              <w:t>出勤情况</w:t>
            </w:r>
          </w:p>
        </w:tc>
        <w:tc>
          <w:tcPr>
            <w:tcW w:w="1276" w:type="dxa"/>
            <w:vAlign w:val="center"/>
          </w:tcPr>
          <w:p>
            <w:pPr>
              <w:pStyle w:val="12"/>
            </w:pPr>
            <w:r>
              <w:t>≥98%</w:t>
            </w:r>
          </w:p>
        </w:tc>
        <w:tc>
          <w:tcPr>
            <w:tcW w:w="1843" w:type="dxa"/>
            <w:vAlign w:val="center"/>
          </w:tcPr>
          <w:p>
            <w:pPr>
              <w:pStyle w:val="12"/>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按月足额拨付资金</w:t>
            </w:r>
          </w:p>
        </w:tc>
        <w:tc>
          <w:tcPr>
            <w:tcW w:w="2891" w:type="dxa"/>
            <w:vAlign w:val="center"/>
          </w:tcPr>
          <w:p>
            <w:pPr>
              <w:pStyle w:val="12"/>
            </w:pPr>
            <w:r>
              <w:t>按月足额拨付资金</w:t>
            </w:r>
          </w:p>
        </w:tc>
        <w:tc>
          <w:tcPr>
            <w:tcW w:w="1276" w:type="dxa"/>
            <w:vAlign w:val="center"/>
          </w:tcPr>
          <w:p>
            <w:pPr>
              <w:pStyle w:val="12"/>
            </w:pPr>
            <w:r>
              <w:t>每月8日前</w:t>
            </w:r>
          </w:p>
        </w:tc>
        <w:tc>
          <w:tcPr>
            <w:tcW w:w="1843" w:type="dxa"/>
            <w:vAlign w:val="center"/>
          </w:tcPr>
          <w:p>
            <w:pPr>
              <w:pStyle w:val="12"/>
            </w:pPr>
            <w:r>
              <w:t>支出进度要求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核定工资数额</w:t>
            </w:r>
          </w:p>
        </w:tc>
        <w:tc>
          <w:tcPr>
            <w:tcW w:w="2891" w:type="dxa"/>
            <w:vAlign w:val="center"/>
          </w:tcPr>
          <w:p>
            <w:pPr>
              <w:pStyle w:val="12"/>
            </w:pPr>
            <w:r>
              <w:t>核定工资数额</w:t>
            </w:r>
          </w:p>
        </w:tc>
        <w:tc>
          <w:tcPr>
            <w:tcW w:w="1276" w:type="dxa"/>
            <w:vAlign w:val="center"/>
          </w:tcPr>
          <w:p>
            <w:pPr>
              <w:pStyle w:val="12"/>
            </w:pPr>
            <w:r>
              <w:t>≤16.6万元</w:t>
            </w:r>
          </w:p>
        </w:tc>
        <w:tc>
          <w:tcPr>
            <w:tcW w:w="1843" w:type="dxa"/>
            <w:vAlign w:val="center"/>
          </w:tcPr>
          <w:p>
            <w:pPr>
              <w:pStyle w:val="12"/>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效益指标</w:t>
            </w:r>
          </w:p>
        </w:tc>
        <w:tc>
          <w:tcPr>
            <w:tcW w:w="1276" w:type="dxa"/>
            <w:vAlign w:val="center"/>
          </w:tcPr>
          <w:p>
            <w:pPr>
              <w:pStyle w:val="12"/>
            </w:pPr>
            <w:r>
              <w:t>可持续影响指标</w:t>
            </w:r>
          </w:p>
        </w:tc>
        <w:tc>
          <w:tcPr>
            <w:tcW w:w="1332" w:type="dxa"/>
            <w:vAlign w:val="center"/>
          </w:tcPr>
          <w:p>
            <w:pPr>
              <w:pStyle w:val="12"/>
            </w:pPr>
            <w:r>
              <w:t>保障人员工资及保险正常发放</w:t>
            </w:r>
          </w:p>
        </w:tc>
        <w:tc>
          <w:tcPr>
            <w:tcW w:w="2891" w:type="dxa"/>
            <w:vAlign w:val="center"/>
          </w:tcPr>
          <w:p>
            <w:pPr>
              <w:pStyle w:val="12"/>
            </w:pPr>
            <w:r>
              <w:t>保障人员工资及保险正常发放</w:t>
            </w:r>
          </w:p>
        </w:tc>
        <w:tc>
          <w:tcPr>
            <w:tcW w:w="1276" w:type="dxa"/>
            <w:vAlign w:val="center"/>
          </w:tcPr>
          <w:p>
            <w:pPr>
              <w:pStyle w:val="12"/>
            </w:pPr>
            <w:r>
              <w:t>可持续</w:t>
            </w:r>
          </w:p>
        </w:tc>
        <w:tc>
          <w:tcPr>
            <w:tcW w:w="1843" w:type="dxa"/>
            <w:vAlign w:val="center"/>
          </w:tcPr>
          <w:p>
            <w:pPr>
              <w:pStyle w:val="12"/>
            </w:pPr>
            <w:r>
              <w:t>维护单位正常运转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保障人员工资及保险正常发放</w:t>
            </w:r>
          </w:p>
        </w:tc>
        <w:tc>
          <w:tcPr>
            <w:tcW w:w="2891" w:type="dxa"/>
            <w:vAlign w:val="center"/>
          </w:tcPr>
          <w:p>
            <w:pPr>
              <w:pStyle w:val="12"/>
            </w:pPr>
            <w:r>
              <w:t>保障人员工资及保险正常发放</w:t>
            </w:r>
          </w:p>
        </w:tc>
        <w:tc>
          <w:tcPr>
            <w:tcW w:w="1276" w:type="dxa"/>
            <w:vAlign w:val="center"/>
          </w:tcPr>
          <w:p>
            <w:pPr>
              <w:pStyle w:val="12"/>
            </w:pPr>
            <w:r>
              <w:t>保工资</w:t>
            </w:r>
          </w:p>
        </w:tc>
        <w:tc>
          <w:tcPr>
            <w:tcW w:w="1843" w:type="dxa"/>
            <w:vAlign w:val="center"/>
          </w:tcPr>
          <w:p>
            <w:pPr>
              <w:pStyle w:val="12"/>
            </w:pPr>
            <w:r>
              <w:t>维护单位正常运转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单位职工满意度</w:t>
            </w:r>
          </w:p>
        </w:tc>
        <w:tc>
          <w:tcPr>
            <w:tcW w:w="2891" w:type="dxa"/>
            <w:vAlign w:val="center"/>
          </w:tcPr>
          <w:p>
            <w:pPr>
              <w:pStyle w:val="12"/>
            </w:pPr>
            <w:r>
              <w:t>单位职工满意情况</w:t>
            </w:r>
          </w:p>
        </w:tc>
        <w:tc>
          <w:tcPr>
            <w:tcW w:w="1276" w:type="dxa"/>
            <w:vAlign w:val="center"/>
          </w:tcPr>
          <w:p>
            <w:pPr>
              <w:pStyle w:val="12"/>
            </w:pPr>
            <w:r>
              <w:t>≥98%</w:t>
            </w:r>
          </w:p>
        </w:tc>
        <w:tc>
          <w:tcPr>
            <w:tcW w:w="1843" w:type="dxa"/>
            <w:vAlign w:val="center"/>
          </w:tcPr>
          <w:p>
            <w:pPr>
              <w:pStyle w:val="12"/>
            </w:pPr>
            <w:r>
              <w:t>问卷调查</w:t>
            </w:r>
          </w:p>
        </w:tc>
      </w:tr>
    </w:tbl>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spacing w:line="226" w:lineRule="auto"/>
        <w:rPr>
          <w:rFonts w:ascii="黑体" w:hAnsi="黑体" w:eastAsia="黑体" w:cs="黑体"/>
          <w:sz w:val="31"/>
          <w:szCs w:val="31"/>
        </w:rPr>
      </w:pPr>
    </w:p>
    <w:p>
      <w:pPr>
        <w:rPr>
          <w:rFonts w:ascii="Arial" w:hAnsi="Arial" w:eastAsia="Arial" w:cs="Arial"/>
          <w:sz w:val="21"/>
          <w:szCs w:val="21"/>
        </w:rPr>
        <w:sectPr>
          <w:pgSz w:w="16840" w:h="11900"/>
          <w:pgMar w:top="1011" w:right="1013" w:bottom="0" w:left="1013" w:header="0" w:footer="0" w:gutter="0"/>
          <w:pgBorders>
            <w:top w:val="none" w:sz="0" w:space="0"/>
            <w:left w:val="none" w:sz="0" w:space="0"/>
            <w:bottom w:val="none" w:sz="0" w:space="0"/>
            <w:right w:val="none" w:sz="0" w:space="0"/>
          </w:pgBorders>
          <w:cols w:space="720" w:num="1"/>
        </w:sect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before="101" w:line="227" w:lineRule="auto"/>
        <w:ind w:left="1083"/>
        <w:rPr>
          <w:rFonts w:ascii="黑体" w:hAnsi="黑体" w:eastAsia="黑体" w:cs="黑体"/>
          <w:sz w:val="31"/>
          <w:szCs w:val="31"/>
        </w:rPr>
      </w:pPr>
      <w:r>
        <w:rPr>
          <w:rFonts w:ascii="黑体" w:hAnsi="黑体" w:eastAsia="黑体" w:cs="黑体"/>
          <w:spacing w:val="7"/>
          <w:sz w:val="31"/>
          <w:szCs w:val="31"/>
        </w:rPr>
        <w:t>六、政府采购预算情况</w:t>
      </w:r>
    </w:p>
    <w:p>
      <w:pPr>
        <w:pStyle w:val="2"/>
        <w:spacing w:before="259" w:line="489" w:lineRule="exact"/>
        <w:ind w:left="985"/>
      </w:pPr>
      <w:r>
        <w:rPr>
          <w:rFonts w:ascii="Times New Roman" w:hAnsi="Times New Roman" w:eastAsia="Times New Roman" w:cs="Times New Roman"/>
          <w:spacing w:val="-2"/>
          <w:position w:val="15"/>
        </w:rPr>
        <w:t>202</w:t>
      </w:r>
      <w:r>
        <w:rPr>
          <w:rFonts w:hint="eastAsia" w:ascii="Times New Roman" w:hAnsi="Times New Roman" w:eastAsia="宋体" w:cs="Times New Roman"/>
          <w:spacing w:val="-2"/>
          <w:position w:val="15"/>
          <w:lang w:val="en-US" w:eastAsia="zh-CN"/>
        </w:rPr>
        <w:t>4</w:t>
      </w:r>
      <w:r>
        <w:rPr>
          <w:spacing w:val="-2"/>
          <w:position w:val="15"/>
        </w:rPr>
        <w:t xml:space="preserve">年 ，承德市商务局劳动就业指导服务中心安排政府采购预算 </w:t>
      </w:r>
      <w:r>
        <w:rPr>
          <w:rFonts w:ascii="Times New Roman" w:hAnsi="Times New Roman" w:eastAsia="Times New Roman" w:cs="Times New Roman"/>
          <w:spacing w:val="-2"/>
          <w:position w:val="15"/>
        </w:rPr>
        <w:t xml:space="preserve">0.00 </w:t>
      </w:r>
      <w:r>
        <w:rPr>
          <w:spacing w:val="-2"/>
          <w:position w:val="15"/>
        </w:rPr>
        <w:t>万元。具体内容见</w:t>
      </w:r>
      <w:r>
        <w:rPr>
          <w:spacing w:val="-3"/>
          <w:position w:val="15"/>
        </w:rPr>
        <w:t>下表。</w:t>
      </w:r>
    </w:p>
    <w:p>
      <w:pPr>
        <w:pStyle w:val="2"/>
        <w:spacing w:line="187" w:lineRule="auto"/>
        <w:ind w:left="5966"/>
        <w:rPr>
          <w:sz w:val="35"/>
          <w:szCs w:val="35"/>
        </w:rPr>
      </w:pPr>
      <w:bookmarkStart w:id="3" w:name="bookmark15"/>
      <w:bookmarkEnd w:id="3"/>
      <w:r>
        <w:rPr>
          <w:spacing w:val="9"/>
          <w:sz w:val="35"/>
          <w:szCs w:val="35"/>
        </w:rPr>
        <w:t>单位政府采购预算</w:t>
      </w:r>
    </w:p>
    <w:p>
      <w:pPr>
        <w:spacing w:line="70" w:lineRule="auto"/>
        <w:rPr>
          <w:rFonts w:ascii="Arial"/>
          <w:sz w:val="2"/>
        </w:rPr>
      </w:pPr>
    </w:p>
    <w:tbl>
      <w:tblPr>
        <w:tblStyle w:val="5"/>
        <w:tblW w:w="147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1"/>
        <w:gridCol w:w="923"/>
        <w:gridCol w:w="923"/>
        <w:gridCol w:w="923"/>
        <w:gridCol w:w="923"/>
        <w:gridCol w:w="923"/>
        <w:gridCol w:w="924"/>
        <w:gridCol w:w="923"/>
        <w:gridCol w:w="923"/>
        <w:gridCol w:w="923"/>
        <w:gridCol w:w="923"/>
        <w:gridCol w:w="924"/>
        <w:gridCol w:w="924"/>
        <w:gridCol w:w="923"/>
        <w:gridCol w:w="924"/>
        <w:gridCol w:w="9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6470" w:type="dxa"/>
            <w:gridSpan w:val="7"/>
            <w:tcBorders>
              <w:top w:val="single" w:color="FFFFFF" w:sz="4" w:space="0"/>
              <w:left w:val="single" w:color="FFFFFF" w:sz="2" w:space="0"/>
              <w:right w:val="single" w:color="FFFFFF" w:sz="2" w:space="0"/>
            </w:tcBorders>
            <w:vAlign w:val="top"/>
          </w:tcPr>
          <w:p>
            <w:pPr>
              <w:pStyle w:val="6"/>
              <w:spacing w:before="206" w:line="184" w:lineRule="auto"/>
              <w:ind w:left="110"/>
              <w:rPr>
                <w:sz w:val="24"/>
                <w:szCs w:val="24"/>
              </w:rPr>
            </w:pPr>
            <w:r>
              <w:rPr>
                <w:spacing w:val="-1"/>
                <w:sz w:val="24"/>
                <w:szCs w:val="24"/>
              </w:rPr>
              <w:t>482003 承德市商务局劳动就业指导服务中心</w:t>
            </w:r>
          </w:p>
        </w:tc>
        <w:tc>
          <w:tcPr>
            <w:tcW w:w="8318" w:type="dxa"/>
            <w:gridSpan w:val="9"/>
            <w:tcBorders>
              <w:top w:val="single" w:color="FFFFFF" w:sz="4" w:space="0"/>
              <w:left w:val="single" w:color="FFFFFF" w:sz="2" w:space="0"/>
              <w:right w:val="single" w:color="FFFFFF" w:sz="2" w:space="0"/>
            </w:tcBorders>
            <w:vAlign w:val="top"/>
          </w:tcPr>
          <w:p>
            <w:pPr>
              <w:pStyle w:val="6"/>
              <w:spacing w:before="207" w:line="183" w:lineRule="auto"/>
              <w:ind w:left="7010"/>
              <w:rPr>
                <w:sz w:val="24"/>
                <w:szCs w:val="24"/>
              </w:rPr>
            </w:pPr>
            <w:r>
              <w:rPr>
                <w:spacing w:val="-13"/>
                <w:sz w:val="24"/>
                <w:szCs w:val="24"/>
              </w:rPr>
              <w:t>单位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1854" w:type="dxa"/>
            <w:gridSpan w:val="2"/>
            <w:vAlign w:val="top"/>
          </w:tcPr>
          <w:p>
            <w:pPr>
              <w:pStyle w:val="6"/>
              <w:spacing w:before="217" w:line="627" w:lineRule="exact"/>
              <w:ind w:left="189"/>
            </w:pPr>
            <w:r>
              <w:rPr>
                <w:b/>
                <w:bCs/>
                <w:spacing w:val="9"/>
                <w:position w:val="33"/>
              </w:rPr>
              <w:t>政府采购项目来</w:t>
            </w:r>
          </w:p>
          <w:p>
            <w:pPr>
              <w:pStyle w:val="6"/>
              <w:spacing w:line="187" w:lineRule="auto"/>
              <w:ind w:left="818"/>
            </w:pPr>
            <w:r>
              <w:rPr>
                <w:b/>
                <w:bCs/>
                <w:spacing w:val="6"/>
              </w:rPr>
              <w:t>源</w:t>
            </w:r>
          </w:p>
        </w:tc>
        <w:tc>
          <w:tcPr>
            <w:tcW w:w="923"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86" w:line="624" w:lineRule="exact"/>
              <w:ind w:left="139"/>
            </w:pPr>
            <w:r>
              <w:rPr>
                <w:b/>
                <w:bCs/>
                <w:spacing w:val="9"/>
                <w:position w:val="33"/>
              </w:rPr>
              <w:t>采购物</w:t>
            </w:r>
          </w:p>
          <w:p>
            <w:pPr>
              <w:pStyle w:val="6"/>
              <w:spacing w:before="1" w:line="188" w:lineRule="auto"/>
              <w:ind w:left="150"/>
            </w:pPr>
            <w:r>
              <w:rPr>
                <w:b/>
                <w:bCs/>
                <w:spacing w:val="5"/>
              </w:rPr>
              <w:t>品名称</w:t>
            </w:r>
          </w:p>
        </w:tc>
        <w:tc>
          <w:tcPr>
            <w:tcW w:w="923" w:type="dxa"/>
            <w:vMerge w:val="restart"/>
            <w:tcBorders>
              <w:bottom w:val="nil"/>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86" w:line="190" w:lineRule="auto"/>
              <w:ind w:left="141"/>
            </w:pPr>
            <w:r>
              <w:rPr>
                <w:b/>
                <w:bCs/>
                <w:spacing w:val="8"/>
              </w:rPr>
              <w:t>政府采</w:t>
            </w:r>
          </w:p>
          <w:p>
            <w:pPr>
              <w:spacing w:line="266" w:lineRule="auto"/>
              <w:rPr>
                <w:rFonts w:ascii="Arial"/>
                <w:sz w:val="21"/>
              </w:rPr>
            </w:pPr>
          </w:p>
          <w:p>
            <w:pPr>
              <w:pStyle w:val="6"/>
              <w:spacing w:before="86" w:line="189" w:lineRule="auto"/>
              <w:ind w:left="141"/>
            </w:pPr>
            <w:r>
              <w:rPr>
                <w:b/>
                <w:bCs/>
                <w:spacing w:val="8"/>
              </w:rPr>
              <w:t>购目录</w:t>
            </w:r>
          </w:p>
          <w:p>
            <w:pPr>
              <w:spacing w:line="266" w:lineRule="auto"/>
              <w:rPr>
                <w:rFonts w:ascii="Arial"/>
                <w:sz w:val="21"/>
              </w:rPr>
            </w:pPr>
          </w:p>
          <w:p>
            <w:pPr>
              <w:pStyle w:val="6"/>
              <w:spacing w:before="86" w:line="189" w:lineRule="auto"/>
              <w:ind w:left="247"/>
            </w:pPr>
            <w:r>
              <w:rPr>
                <w:b/>
                <w:bCs/>
                <w:spacing w:val="7"/>
              </w:rPr>
              <w:t>序号</w:t>
            </w:r>
          </w:p>
        </w:tc>
        <w:tc>
          <w:tcPr>
            <w:tcW w:w="923" w:type="dxa"/>
            <w:vMerge w:val="restart"/>
            <w:tcBorders>
              <w:bottom w:val="nil"/>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86" w:line="623" w:lineRule="exact"/>
              <w:ind w:left="249"/>
            </w:pPr>
            <w:r>
              <w:rPr>
                <w:b/>
                <w:bCs/>
                <w:spacing w:val="6"/>
                <w:position w:val="33"/>
              </w:rPr>
              <w:t>计量</w:t>
            </w:r>
          </w:p>
          <w:p>
            <w:pPr>
              <w:pStyle w:val="6"/>
              <w:spacing w:line="189" w:lineRule="auto"/>
              <w:ind w:left="249"/>
            </w:pPr>
            <w:r>
              <w:rPr>
                <w:b/>
                <w:bCs/>
                <w:spacing w:val="7"/>
              </w:rPr>
              <w:t>单位</w:t>
            </w:r>
          </w:p>
        </w:tc>
        <w:tc>
          <w:tcPr>
            <w:tcW w:w="923"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86" w:line="189" w:lineRule="auto"/>
              <w:ind w:left="248"/>
            </w:pPr>
            <w:r>
              <w:rPr>
                <w:b/>
                <w:bCs/>
                <w:spacing w:val="8"/>
              </w:rPr>
              <w:t>数量</w:t>
            </w:r>
          </w:p>
        </w:tc>
        <w:tc>
          <w:tcPr>
            <w:tcW w:w="924" w:type="dxa"/>
            <w:vMerge w:val="restart"/>
            <w:tcBorders>
              <w:bottom w:val="nil"/>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86" w:line="189" w:lineRule="auto"/>
              <w:ind w:left="251"/>
            </w:pPr>
            <w:r>
              <w:rPr>
                <w:b/>
                <w:bCs/>
                <w:spacing w:val="7"/>
              </w:rPr>
              <w:t>单价</w:t>
            </w:r>
          </w:p>
        </w:tc>
        <w:tc>
          <w:tcPr>
            <w:tcW w:w="7387" w:type="dxa"/>
            <w:gridSpan w:val="8"/>
            <w:vAlign w:val="top"/>
          </w:tcPr>
          <w:p>
            <w:pPr>
              <w:spacing w:line="398" w:lineRule="auto"/>
              <w:rPr>
                <w:rFonts w:ascii="Arial"/>
                <w:sz w:val="21"/>
              </w:rPr>
            </w:pPr>
          </w:p>
          <w:p>
            <w:pPr>
              <w:pStyle w:val="6"/>
              <w:spacing w:before="86" w:line="233" w:lineRule="auto"/>
              <w:ind w:left="1802"/>
            </w:pPr>
            <w:r>
              <w:rPr>
                <w:b/>
                <w:bCs/>
                <w:spacing w:val="10"/>
              </w:rPr>
              <w:t>政府采购金额（当年部门预算安排资金）</w:t>
            </w:r>
          </w:p>
        </w:tc>
        <w:tc>
          <w:tcPr>
            <w:tcW w:w="931" w:type="dxa"/>
            <w:vMerge w:val="restart"/>
            <w:tcBorders>
              <w:bottom w:val="nil"/>
            </w:tcBorders>
            <w:vAlign w:val="top"/>
          </w:tcPr>
          <w:p>
            <w:pPr>
              <w:spacing w:line="463" w:lineRule="auto"/>
              <w:rPr>
                <w:rFonts w:ascii="Arial"/>
                <w:sz w:val="21"/>
              </w:rPr>
            </w:pPr>
          </w:p>
          <w:p>
            <w:pPr>
              <w:pStyle w:val="6"/>
              <w:spacing w:before="86" w:line="178" w:lineRule="auto"/>
              <w:ind w:left="213"/>
              <w:rPr>
                <w:rFonts w:hint="eastAsia" w:eastAsia="微软雅黑"/>
                <w:lang w:val="en-US" w:eastAsia="zh-CN"/>
              </w:rPr>
            </w:pPr>
            <w:r>
              <w:rPr>
                <w:b/>
                <w:bCs/>
                <w:spacing w:val="3"/>
              </w:rPr>
              <w:t>202</w:t>
            </w:r>
            <w:r>
              <w:rPr>
                <w:rFonts w:hint="eastAsia"/>
                <w:b/>
                <w:bCs/>
                <w:spacing w:val="3"/>
                <w:lang w:val="en-US" w:eastAsia="zh-CN"/>
              </w:rPr>
              <w:t>4</w:t>
            </w:r>
          </w:p>
          <w:p>
            <w:pPr>
              <w:spacing w:line="267" w:lineRule="auto"/>
              <w:rPr>
                <w:rFonts w:ascii="Arial"/>
                <w:sz w:val="21"/>
              </w:rPr>
            </w:pPr>
          </w:p>
          <w:p>
            <w:pPr>
              <w:pStyle w:val="6"/>
              <w:spacing w:before="86" w:line="189" w:lineRule="auto"/>
              <w:ind w:left="151"/>
            </w:pPr>
            <w:r>
              <w:rPr>
                <w:b/>
                <w:bCs/>
                <w:spacing w:val="5"/>
              </w:rPr>
              <w:t>年</w:t>
            </w:r>
            <w:r>
              <w:rPr>
                <w:b/>
                <w:bCs/>
                <w:spacing w:val="11"/>
              </w:rPr>
              <w:t xml:space="preserve">   </w:t>
            </w:r>
            <w:r>
              <w:rPr>
                <w:b/>
                <w:bCs/>
                <w:spacing w:val="5"/>
              </w:rPr>
              <w:t>预</w:t>
            </w:r>
          </w:p>
          <w:p>
            <w:pPr>
              <w:spacing w:line="267" w:lineRule="auto"/>
              <w:rPr>
                <w:rFonts w:ascii="Arial"/>
                <w:sz w:val="21"/>
              </w:rPr>
            </w:pPr>
          </w:p>
          <w:p>
            <w:pPr>
              <w:pStyle w:val="6"/>
              <w:spacing w:before="86" w:line="436" w:lineRule="auto"/>
              <w:ind w:left="150" w:right="145" w:firstLine="110"/>
            </w:pPr>
            <w:r>
              <w:rPr>
                <w:b/>
                <w:bCs/>
                <w:spacing w:val="4"/>
              </w:rPr>
              <w:t>留中</w:t>
            </w:r>
            <w:r>
              <w:rPr>
                <w:b/>
                <w:bCs/>
              </w:rPr>
              <w:t xml:space="preserve">   </w:t>
            </w:r>
            <w:r>
              <w:rPr>
                <w:b/>
                <w:bCs/>
                <w:spacing w:val="8"/>
              </w:rPr>
              <w:t>小微企</w:t>
            </w:r>
          </w:p>
          <w:p>
            <w:pPr>
              <w:pStyle w:val="6"/>
              <w:spacing w:before="1" w:line="188" w:lineRule="auto"/>
              <w:ind w:left="150"/>
            </w:pPr>
            <w:r>
              <w:rPr>
                <w:b/>
                <w:bCs/>
                <w:spacing w:val="8"/>
              </w:rPr>
              <w:t>业份额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931"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86" w:line="626" w:lineRule="exact"/>
              <w:ind w:left="146"/>
            </w:pPr>
            <w:r>
              <w:rPr>
                <w:b/>
                <w:bCs/>
                <w:spacing w:val="8"/>
                <w:position w:val="33"/>
              </w:rPr>
              <w:t>项目名</w:t>
            </w:r>
          </w:p>
          <w:p>
            <w:pPr>
              <w:pStyle w:val="6"/>
              <w:spacing w:line="187" w:lineRule="auto"/>
              <w:ind w:left="357"/>
            </w:pPr>
            <w:r>
              <w:rPr>
                <w:b/>
                <w:bCs/>
                <w:spacing w:val="6"/>
              </w:rPr>
              <w:t>称</w:t>
            </w:r>
          </w:p>
        </w:tc>
        <w:tc>
          <w:tcPr>
            <w:tcW w:w="92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86" w:line="624" w:lineRule="exact"/>
              <w:ind w:left="244"/>
            </w:pPr>
            <w:r>
              <w:rPr>
                <w:b/>
                <w:bCs/>
                <w:spacing w:val="7"/>
                <w:position w:val="33"/>
              </w:rPr>
              <w:t>预算</w:t>
            </w:r>
          </w:p>
          <w:p>
            <w:pPr>
              <w:pStyle w:val="6"/>
              <w:spacing w:before="1" w:line="188" w:lineRule="auto"/>
              <w:ind w:left="245"/>
            </w:pPr>
            <w:r>
              <w:rPr>
                <w:b/>
                <w:bCs/>
                <w:spacing w:val="7"/>
              </w:rPr>
              <w:t>资金</w:t>
            </w:r>
          </w:p>
        </w:tc>
        <w:tc>
          <w:tcPr>
            <w:tcW w:w="923" w:type="dxa"/>
            <w:vMerge w:val="continue"/>
            <w:tcBorders>
              <w:top w:val="nil"/>
            </w:tcBorders>
            <w:vAlign w:val="top"/>
          </w:tcPr>
          <w:p>
            <w:pPr>
              <w:rPr>
                <w:rFonts w:ascii="Arial"/>
                <w:sz w:val="21"/>
              </w:rPr>
            </w:pPr>
          </w:p>
        </w:tc>
        <w:tc>
          <w:tcPr>
            <w:tcW w:w="923" w:type="dxa"/>
            <w:vMerge w:val="continue"/>
            <w:tcBorders>
              <w:top w:val="nil"/>
            </w:tcBorders>
            <w:vAlign w:val="top"/>
          </w:tcPr>
          <w:p>
            <w:pPr>
              <w:rPr>
                <w:rFonts w:ascii="Arial"/>
                <w:sz w:val="21"/>
              </w:rPr>
            </w:pPr>
          </w:p>
        </w:tc>
        <w:tc>
          <w:tcPr>
            <w:tcW w:w="923" w:type="dxa"/>
            <w:vMerge w:val="continue"/>
            <w:tcBorders>
              <w:top w:val="nil"/>
            </w:tcBorders>
            <w:vAlign w:val="top"/>
          </w:tcPr>
          <w:p>
            <w:pPr>
              <w:rPr>
                <w:rFonts w:ascii="Arial"/>
                <w:sz w:val="21"/>
              </w:rPr>
            </w:pPr>
          </w:p>
        </w:tc>
        <w:tc>
          <w:tcPr>
            <w:tcW w:w="923" w:type="dxa"/>
            <w:vMerge w:val="continue"/>
            <w:tcBorders>
              <w:top w:val="nil"/>
            </w:tcBorders>
            <w:vAlign w:val="top"/>
          </w:tcPr>
          <w:p>
            <w:pPr>
              <w:rPr>
                <w:rFonts w:ascii="Arial"/>
                <w:sz w:val="21"/>
              </w:rPr>
            </w:pPr>
          </w:p>
        </w:tc>
        <w:tc>
          <w:tcPr>
            <w:tcW w:w="924" w:type="dxa"/>
            <w:vMerge w:val="continue"/>
            <w:tcBorders>
              <w:top w:val="nil"/>
            </w:tcBorders>
            <w:vAlign w:val="top"/>
          </w:tcPr>
          <w:p>
            <w:pPr>
              <w:rPr>
                <w:rFonts w:ascii="Arial"/>
                <w:sz w:val="21"/>
              </w:rPr>
            </w:pPr>
          </w:p>
        </w:tc>
        <w:tc>
          <w:tcPr>
            <w:tcW w:w="923"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86" w:line="189" w:lineRule="auto"/>
              <w:ind w:left="250"/>
            </w:pPr>
            <w:r>
              <w:rPr>
                <w:b/>
                <w:bCs/>
                <w:spacing w:val="7"/>
              </w:rPr>
              <w:t>合计</w:t>
            </w:r>
          </w:p>
        </w:tc>
        <w:tc>
          <w:tcPr>
            <w:tcW w:w="923" w:type="dxa"/>
            <w:vAlign w:val="top"/>
          </w:tcPr>
          <w:p>
            <w:pPr>
              <w:spacing w:line="442" w:lineRule="auto"/>
              <w:rPr>
                <w:rFonts w:ascii="Arial"/>
                <w:sz w:val="21"/>
              </w:rPr>
            </w:pPr>
          </w:p>
          <w:p>
            <w:pPr>
              <w:pStyle w:val="6"/>
              <w:spacing w:before="86" w:line="190" w:lineRule="auto"/>
              <w:ind w:left="148"/>
            </w:pPr>
            <w:r>
              <w:rPr>
                <w:b/>
                <w:bCs/>
                <w:spacing w:val="7"/>
              </w:rPr>
              <w:t>一般公</w:t>
            </w:r>
          </w:p>
          <w:p>
            <w:pPr>
              <w:spacing w:line="266" w:lineRule="auto"/>
              <w:rPr>
                <w:rFonts w:ascii="Arial"/>
                <w:sz w:val="21"/>
              </w:rPr>
            </w:pPr>
          </w:p>
          <w:p>
            <w:pPr>
              <w:pStyle w:val="6"/>
              <w:spacing w:before="86" w:line="189" w:lineRule="auto"/>
              <w:ind w:left="145"/>
            </w:pPr>
            <w:r>
              <w:rPr>
                <w:b/>
                <w:bCs/>
                <w:spacing w:val="8"/>
              </w:rPr>
              <w:t>共预算</w:t>
            </w:r>
          </w:p>
          <w:p>
            <w:pPr>
              <w:spacing w:line="266" w:lineRule="auto"/>
              <w:rPr>
                <w:rFonts w:ascii="Arial"/>
                <w:sz w:val="21"/>
              </w:rPr>
            </w:pPr>
          </w:p>
          <w:p>
            <w:pPr>
              <w:pStyle w:val="6"/>
              <w:spacing w:before="86" w:line="189" w:lineRule="auto"/>
              <w:ind w:left="251"/>
            </w:pPr>
            <w:r>
              <w:rPr>
                <w:b/>
                <w:bCs/>
                <w:spacing w:val="7"/>
              </w:rPr>
              <w:t>拨款</w:t>
            </w:r>
          </w:p>
        </w:tc>
        <w:tc>
          <w:tcPr>
            <w:tcW w:w="923"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86" w:line="623" w:lineRule="exact"/>
              <w:ind w:left="146"/>
            </w:pPr>
            <w:r>
              <w:rPr>
                <w:b/>
                <w:bCs/>
                <w:spacing w:val="8"/>
                <w:position w:val="33"/>
              </w:rPr>
              <w:t>基金预</w:t>
            </w:r>
          </w:p>
          <w:p>
            <w:pPr>
              <w:pStyle w:val="6"/>
              <w:spacing w:line="189" w:lineRule="auto"/>
              <w:ind w:left="146"/>
            </w:pPr>
            <w:r>
              <w:rPr>
                <w:b/>
                <w:bCs/>
                <w:spacing w:val="8"/>
              </w:rPr>
              <w:t>算拨款</w:t>
            </w:r>
          </w:p>
        </w:tc>
        <w:tc>
          <w:tcPr>
            <w:tcW w:w="923" w:type="dxa"/>
            <w:vAlign w:val="top"/>
          </w:tcPr>
          <w:p>
            <w:pPr>
              <w:pStyle w:val="6"/>
              <w:spacing w:before="220" w:line="189" w:lineRule="auto"/>
              <w:ind w:left="156"/>
            </w:pPr>
            <w:r>
              <w:rPr>
                <w:b/>
                <w:bCs/>
                <w:spacing w:val="5"/>
              </w:rPr>
              <w:t>国有资</w:t>
            </w:r>
          </w:p>
          <w:p>
            <w:pPr>
              <w:spacing w:line="266" w:lineRule="auto"/>
              <w:rPr>
                <w:rFonts w:ascii="Arial"/>
                <w:sz w:val="21"/>
              </w:rPr>
            </w:pPr>
          </w:p>
          <w:p>
            <w:pPr>
              <w:pStyle w:val="6"/>
              <w:spacing w:before="86" w:line="189" w:lineRule="auto"/>
              <w:ind w:left="147"/>
            </w:pPr>
            <w:r>
              <w:rPr>
                <w:b/>
                <w:bCs/>
                <w:spacing w:val="8"/>
              </w:rPr>
              <w:t>本经营</w:t>
            </w:r>
          </w:p>
          <w:p>
            <w:pPr>
              <w:spacing w:line="266" w:lineRule="auto"/>
              <w:rPr>
                <w:rFonts w:ascii="Arial"/>
                <w:sz w:val="21"/>
              </w:rPr>
            </w:pPr>
          </w:p>
          <w:p>
            <w:pPr>
              <w:pStyle w:val="6"/>
              <w:spacing w:before="86" w:line="189" w:lineRule="auto"/>
              <w:ind w:left="147"/>
            </w:pPr>
            <w:r>
              <w:rPr>
                <w:b/>
                <w:bCs/>
                <w:spacing w:val="8"/>
              </w:rPr>
              <w:t>预算拨</w:t>
            </w:r>
          </w:p>
          <w:p>
            <w:pPr>
              <w:spacing w:line="266" w:lineRule="auto"/>
              <w:rPr>
                <w:rFonts w:ascii="Arial"/>
                <w:sz w:val="21"/>
              </w:rPr>
            </w:pPr>
          </w:p>
          <w:p>
            <w:pPr>
              <w:pStyle w:val="6"/>
              <w:spacing w:before="86" w:line="189" w:lineRule="auto"/>
              <w:ind w:left="358"/>
            </w:pPr>
            <w:r>
              <w:rPr>
                <w:b/>
                <w:bCs/>
                <w:spacing w:val="6"/>
              </w:rPr>
              <w:t>款</w:t>
            </w:r>
          </w:p>
        </w:tc>
        <w:tc>
          <w:tcPr>
            <w:tcW w:w="924"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86" w:line="625" w:lineRule="exact"/>
              <w:ind w:left="148"/>
            </w:pPr>
            <w:r>
              <w:rPr>
                <w:b/>
                <w:bCs/>
                <w:spacing w:val="8"/>
                <w:position w:val="33"/>
              </w:rPr>
              <w:t>财政专</w:t>
            </w:r>
          </w:p>
          <w:p>
            <w:pPr>
              <w:pStyle w:val="6"/>
              <w:spacing w:before="1" w:line="188" w:lineRule="auto"/>
              <w:ind w:left="150"/>
            </w:pPr>
            <w:r>
              <w:rPr>
                <w:b/>
                <w:bCs/>
                <w:spacing w:val="8"/>
              </w:rPr>
              <w:t>户核拨</w:t>
            </w:r>
          </w:p>
        </w:tc>
        <w:tc>
          <w:tcPr>
            <w:tcW w:w="924"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85" w:line="625" w:lineRule="exact"/>
              <w:ind w:left="255"/>
            </w:pPr>
            <w:r>
              <w:rPr>
                <w:b/>
                <w:bCs/>
                <w:spacing w:val="7"/>
                <w:position w:val="33"/>
              </w:rPr>
              <w:t>单位</w:t>
            </w:r>
          </w:p>
          <w:p>
            <w:pPr>
              <w:pStyle w:val="6"/>
              <w:spacing w:before="1" w:line="188" w:lineRule="auto"/>
              <w:ind w:left="254"/>
            </w:pPr>
            <w:r>
              <w:rPr>
                <w:b/>
                <w:bCs/>
                <w:spacing w:val="7"/>
              </w:rPr>
              <w:t>资金</w:t>
            </w:r>
          </w:p>
        </w:tc>
        <w:tc>
          <w:tcPr>
            <w:tcW w:w="923"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86" w:line="624" w:lineRule="exact"/>
              <w:ind w:left="148"/>
            </w:pPr>
            <w:r>
              <w:rPr>
                <w:b/>
                <w:bCs/>
                <w:spacing w:val="8"/>
                <w:position w:val="33"/>
              </w:rPr>
              <w:t>财政拨</w:t>
            </w:r>
          </w:p>
          <w:p>
            <w:pPr>
              <w:pStyle w:val="6"/>
              <w:spacing w:line="189" w:lineRule="auto"/>
              <w:ind w:left="148"/>
            </w:pPr>
            <w:r>
              <w:rPr>
                <w:b/>
                <w:bCs/>
                <w:spacing w:val="8"/>
              </w:rPr>
              <w:t>款结转</w:t>
            </w:r>
          </w:p>
        </w:tc>
        <w:tc>
          <w:tcPr>
            <w:tcW w:w="924" w:type="dxa"/>
            <w:vAlign w:val="top"/>
          </w:tcPr>
          <w:p>
            <w:pPr>
              <w:spacing w:line="444" w:lineRule="auto"/>
              <w:rPr>
                <w:rFonts w:ascii="Arial"/>
                <w:sz w:val="21"/>
              </w:rPr>
            </w:pPr>
          </w:p>
          <w:p>
            <w:pPr>
              <w:pStyle w:val="6"/>
              <w:spacing w:before="86" w:line="436" w:lineRule="auto"/>
              <w:ind w:left="149" w:right="138"/>
              <w:jc w:val="both"/>
            </w:pPr>
            <w:r>
              <w:rPr>
                <w:b/>
                <w:bCs/>
                <w:spacing w:val="8"/>
              </w:rPr>
              <w:t>非财政</w:t>
            </w:r>
            <w:r>
              <w:rPr>
                <w:b/>
                <w:bCs/>
                <w:spacing w:val="1"/>
              </w:rPr>
              <w:t xml:space="preserve"> </w:t>
            </w:r>
            <w:r>
              <w:rPr>
                <w:b/>
                <w:bCs/>
                <w:spacing w:val="8"/>
              </w:rPr>
              <w:t>拨款结</w:t>
            </w:r>
          </w:p>
          <w:p>
            <w:pPr>
              <w:pStyle w:val="6"/>
              <w:spacing w:line="189" w:lineRule="auto"/>
              <w:ind w:left="149"/>
            </w:pPr>
            <w:r>
              <w:rPr>
                <w:b/>
                <w:bCs/>
                <w:spacing w:val="8"/>
              </w:rPr>
              <w:t>转结余</w:t>
            </w:r>
          </w:p>
        </w:tc>
        <w:tc>
          <w:tcPr>
            <w:tcW w:w="931" w:type="dxa"/>
            <w:vMerge w:val="continue"/>
            <w:tcBorders>
              <w:top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931" w:type="dxa"/>
            <w:vAlign w:val="top"/>
          </w:tcPr>
          <w:p>
            <w:pPr>
              <w:rPr>
                <w:rFonts w:ascii="Arial"/>
                <w:sz w:val="21"/>
              </w:rPr>
            </w:pPr>
          </w:p>
        </w:tc>
        <w:tc>
          <w:tcPr>
            <w:tcW w:w="923" w:type="dxa"/>
            <w:vAlign w:val="top"/>
          </w:tcPr>
          <w:p>
            <w:pPr>
              <w:rPr>
                <w:rFonts w:ascii="Arial"/>
                <w:sz w:val="21"/>
              </w:rPr>
            </w:pPr>
          </w:p>
        </w:tc>
        <w:tc>
          <w:tcPr>
            <w:tcW w:w="923" w:type="dxa"/>
            <w:vAlign w:val="top"/>
          </w:tcPr>
          <w:p>
            <w:pPr>
              <w:rPr>
                <w:rFonts w:ascii="Arial"/>
                <w:sz w:val="21"/>
              </w:rPr>
            </w:pPr>
          </w:p>
        </w:tc>
        <w:tc>
          <w:tcPr>
            <w:tcW w:w="923" w:type="dxa"/>
            <w:vAlign w:val="top"/>
          </w:tcPr>
          <w:p>
            <w:pPr>
              <w:rPr>
                <w:rFonts w:ascii="Arial"/>
                <w:sz w:val="21"/>
              </w:rPr>
            </w:pPr>
          </w:p>
        </w:tc>
        <w:tc>
          <w:tcPr>
            <w:tcW w:w="923" w:type="dxa"/>
            <w:vAlign w:val="top"/>
          </w:tcPr>
          <w:p>
            <w:pPr>
              <w:rPr>
                <w:rFonts w:ascii="Arial"/>
                <w:sz w:val="21"/>
              </w:rPr>
            </w:pPr>
          </w:p>
        </w:tc>
        <w:tc>
          <w:tcPr>
            <w:tcW w:w="923" w:type="dxa"/>
            <w:vAlign w:val="top"/>
          </w:tcPr>
          <w:p>
            <w:pPr>
              <w:rPr>
                <w:rFonts w:ascii="Arial"/>
                <w:sz w:val="21"/>
              </w:rPr>
            </w:pPr>
          </w:p>
        </w:tc>
        <w:tc>
          <w:tcPr>
            <w:tcW w:w="924" w:type="dxa"/>
            <w:vAlign w:val="top"/>
          </w:tcPr>
          <w:p>
            <w:pPr>
              <w:rPr>
                <w:rFonts w:ascii="Arial"/>
                <w:sz w:val="21"/>
              </w:rPr>
            </w:pPr>
          </w:p>
        </w:tc>
        <w:tc>
          <w:tcPr>
            <w:tcW w:w="923" w:type="dxa"/>
            <w:vAlign w:val="top"/>
          </w:tcPr>
          <w:p>
            <w:pPr>
              <w:rPr>
                <w:rFonts w:ascii="Arial"/>
                <w:sz w:val="21"/>
              </w:rPr>
            </w:pPr>
          </w:p>
        </w:tc>
        <w:tc>
          <w:tcPr>
            <w:tcW w:w="923" w:type="dxa"/>
            <w:vAlign w:val="top"/>
          </w:tcPr>
          <w:p>
            <w:pPr>
              <w:rPr>
                <w:rFonts w:ascii="Arial"/>
                <w:sz w:val="21"/>
              </w:rPr>
            </w:pPr>
          </w:p>
        </w:tc>
        <w:tc>
          <w:tcPr>
            <w:tcW w:w="923" w:type="dxa"/>
            <w:vAlign w:val="top"/>
          </w:tcPr>
          <w:p>
            <w:pPr>
              <w:rPr>
                <w:rFonts w:ascii="Arial"/>
                <w:sz w:val="21"/>
              </w:rPr>
            </w:pPr>
          </w:p>
        </w:tc>
        <w:tc>
          <w:tcPr>
            <w:tcW w:w="923" w:type="dxa"/>
            <w:vAlign w:val="top"/>
          </w:tcPr>
          <w:p>
            <w:pPr>
              <w:rPr>
                <w:rFonts w:ascii="Arial"/>
                <w:sz w:val="21"/>
              </w:rPr>
            </w:pPr>
          </w:p>
        </w:tc>
        <w:tc>
          <w:tcPr>
            <w:tcW w:w="924" w:type="dxa"/>
            <w:vAlign w:val="top"/>
          </w:tcPr>
          <w:p>
            <w:pPr>
              <w:rPr>
                <w:rFonts w:ascii="Arial"/>
                <w:sz w:val="21"/>
              </w:rPr>
            </w:pPr>
          </w:p>
        </w:tc>
        <w:tc>
          <w:tcPr>
            <w:tcW w:w="924" w:type="dxa"/>
            <w:vAlign w:val="top"/>
          </w:tcPr>
          <w:p>
            <w:pPr>
              <w:rPr>
                <w:rFonts w:ascii="Arial"/>
                <w:sz w:val="21"/>
              </w:rPr>
            </w:pPr>
          </w:p>
        </w:tc>
        <w:tc>
          <w:tcPr>
            <w:tcW w:w="923" w:type="dxa"/>
            <w:vAlign w:val="top"/>
          </w:tcPr>
          <w:p>
            <w:pPr>
              <w:rPr>
                <w:rFonts w:ascii="Arial"/>
                <w:sz w:val="21"/>
              </w:rPr>
            </w:pPr>
          </w:p>
        </w:tc>
        <w:tc>
          <w:tcPr>
            <w:tcW w:w="924" w:type="dxa"/>
            <w:vAlign w:val="top"/>
          </w:tcPr>
          <w:p>
            <w:pPr>
              <w:rPr>
                <w:rFonts w:ascii="Arial"/>
                <w:sz w:val="21"/>
              </w:rPr>
            </w:pPr>
          </w:p>
        </w:tc>
        <w:tc>
          <w:tcPr>
            <w:tcW w:w="931" w:type="dxa"/>
            <w:vAlign w:val="top"/>
          </w:tcPr>
          <w:p>
            <w:pPr>
              <w:rPr>
                <w:rFonts w:ascii="Arial"/>
                <w:sz w:val="21"/>
              </w:rPr>
            </w:pPr>
          </w:p>
        </w:tc>
      </w:tr>
    </w:tbl>
    <w:p>
      <w:pPr>
        <w:pStyle w:val="2"/>
        <w:spacing w:before="223" w:line="190" w:lineRule="auto"/>
        <w:ind w:left="842"/>
        <w:rPr>
          <w:sz w:val="20"/>
          <w:szCs w:val="20"/>
        </w:rPr>
      </w:pPr>
      <w:r>
        <w:rPr>
          <w:spacing w:val="6"/>
          <w:sz w:val="20"/>
          <w:szCs w:val="20"/>
        </w:rPr>
        <w:t>注 ：同一采购目录序号的物品 ，其单价会因配置规格不同而变动 ，均符合资产配置标准。涉密采购事项按照相关规定执行。</w:t>
      </w:r>
    </w:p>
    <w:p>
      <w:pPr>
        <w:pStyle w:val="2"/>
        <w:spacing w:before="224" w:line="189" w:lineRule="auto"/>
        <w:ind w:left="842"/>
        <w:rPr>
          <w:sz w:val="20"/>
          <w:szCs w:val="20"/>
        </w:rPr>
      </w:pPr>
      <w:r>
        <w:rPr>
          <w:sz w:val="20"/>
          <w:szCs w:val="20"/>
        </w:rPr>
        <w:t>注 ：无政府采购预算 ，空表列示。</w:t>
      </w:r>
    </w:p>
    <w:p>
      <w:pPr>
        <w:spacing w:line="189" w:lineRule="auto"/>
        <w:rPr>
          <w:sz w:val="20"/>
          <w:szCs w:val="20"/>
        </w:rPr>
        <w:sectPr>
          <w:pgSz w:w="16839" w:h="11906"/>
          <w:pgMar w:top="1012" w:right="1019" w:bottom="0" w:left="1019" w:header="0" w:footer="0" w:gutter="0"/>
          <w:pgBorders>
            <w:top w:val="none" w:sz="0" w:space="0"/>
            <w:left w:val="none" w:sz="0" w:space="0"/>
            <w:bottom w:val="none" w:sz="0" w:space="0"/>
            <w:right w:val="none" w:sz="0" w:space="0"/>
          </w:pgBorders>
          <w:cols w:space="720" w:num="1"/>
        </w:sect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101" w:line="227" w:lineRule="auto"/>
        <w:ind w:left="1080"/>
        <w:rPr>
          <w:rFonts w:ascii="黑体" w:hAnsi="黑体" w:eastAsia="黑体" w:cs="黑体"/>
          <w:sz w:val="31"/>
          <w:szCs w:val="31"/>
        </w:rPr>
      </w:pPr>
      <w:bookmarkStart w:id="4" w:name="bookmark17"/>
      <w:bookmarkEnd w:id="4"/>
      <w:bookmarkStart w:id="5" w:name="bookmark16"/>
      <w:bookmarkEnd w:id="5"/>
      <w:r>
        <w:rPr>
          <w:rFonts w:ascii="黑体" w:hAnsi="黑体" w:eastAsia="黑体" w:cs="黑体"/>
          <w:spacing w:val="8"/>
          <w:sz w:val="31"/>
          <w:szCs w:val="31"/>
        </w:rPr>
        <w:t>七、国有资产信息</w:t>
      </w:r>
    </w:p>
    <w:p>
      <w:pPr>
        <w:pStyle w:val="2"/>
        <w:spacing w:before="208" w:line="552" w:lineRule="exact"/>
        <w:ind w:left="991"/>
      </w:pPr>
      <w:r>
        <w:rPr>
          <w:spacing w:val="-3"/>
          <w:position w:val="17"/>
        </w:rPr>
        <w:t>承德市商务局劳动就业指导服务中心上年末固定资产金额为</w:t>
      </w:r>
      <w:r>
        <w:rPr>
          <w:rFonts w:hint="eastAsia"/>
          <w:spacing w:val="-3"/>
          <w:position w:val="17"/>
          <w:lang w:val="en-US" w:eastAsia="zh-CN"/>
        </w:rPr>
        <w:t>3.81</w:t>
      </w:r>
      <w:r>
        <w:rPr>
          <w:spacing w:val="-3"/>
          <w:position w:val="17"/>
        </w:rPr>
        <w:t>万元（详见下表）。本年度拟购置固定资产总</w:t>
      </w:r>
    </w:p>
    <w:p>
      <w:pPr>
        <w:pStyle w:val="2"/>
        <w:spacing w:before="1" w:line="183" w:lineRule="auto"/>
        <w:ind w:left="431"/>
      </w:pPr>
      <w:r>
        <w:rPr>
          <w:spacing w:val="-5"/>
        </w:rPr>
        <w:t xml:space="preserve">额为 </w:t>
      </w:r>
      <w:r>
        <w:rPr>
          <w:rFonts w:ascii="Times New Roman" w:hAnsi="Times New Roman" w:eastAsia="Times New Roman" w:cs="Times New Roman"/>
          <w:spacing w:val="-5"/>
        </w:rPr>
        <w:t xml:space="preserve">0.00 </w:t>
      </w:r>
      <w:r>
        <w:rPr>
          <w:spacing w:val="-5"/>
        </w:rPr>
        <w:t>万元 ，已按要求列入政府采购预算 ，详见政府采购预算</w:t>
      </w:r>
      <w:r>
        <w:rPr>
          <w:spacing w:val="-6"/>
        </w:rPr>
        <w:t>表。</w:t>
      </w:r>
    </w:p>
    <w:p>
      <w:pPr>
        <w:pStyle w:val="2"/>
        <w:spacing w:before="117" w:line="188" w:lineRule="auto"/>
        <w:ind w:left="5434"/>
        <w:rPr>
          <w:sz w:val="35"/>
          <w:szCs w:val="35"/>
        </w:rPr>
      </w:pPr>
      <w:r>
        <w:rPr>
          <w:spacing w:val="9"/>
          <w:sz w:val="35"/>
          <w:szCs w:val="35"/>
        </w:rPr>
        <w:t>单位固定资产占用情况表</w:t>
      </w:r>
    </w:p>
    <w:p>
      <w:pPr>
        <w:spacing w:line="74" w:lineRule="auto"/>
        <w:rPr>
          <w:rFonts w:ascii="Arial"/>
          <w:sz w:val="2"/>
        </w:rPr>
      </w:pPr>
    </w:p>
    <w:tbl>
      <w:tblPr>
        <w:tblStyle w:val="5"/>
        <w:tblW w:w="148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37"/>
        <w:gridCol w:w="4929"/>
        <w:gridCol w:w="4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937" w:type="dxa"/>
            <w:tcBorders>
              <w:top w:val="single" w:color="FFFFFF" w:sz="4" w:space="0"/>
              <w:left w:val="single" w:color="FFFFFF" w:sz="2" w:space="0"/>
              <w:right w:val="single" w:color="FFFFFF" w:sz="2" w:space="0"/>
            </w:tcBorders>
            <w:vAlign w:val="top"/>
          </w:tcPr>
          <w:p>
            <w:pPr>
              <w:pStyle w:val="6"/>
              <w:spacing w:before="205" w:line="184" w:lineRule="auto"/>
              <w:ind w:left="110"/>
              <w:rPr>
                <w:sz w:val="24"/>
                <w:szCs w:val="24"/>
              </w:rPr>
            </w:pPr>
            <w:r>
              <w:rPr>
                <w:spacing w:val="-1"/>
                <w:sz w:val="24"/>
                <w:szCs w:val="24"/>
              </w:rPr>
              <w:t>482003</w:t>
            </w:r>
            <w:r>
              <w:rPr>
                <w:spacing w:val="-21"/>
                <w:sz w:val="24"/>
                <w:szCs w:val="24"/>
              </w:rPr>
              <w:t xml:space="preserve"> </w:t>
            </w:r>
            <w:r>
              <w:rPr>
                <w:spacing w:val="-1"/>
                <w:sz w:val="24"/>
                <w:szCs w:val="24"/>
              </w:rPr>
              <w:t>承德市商务局劳动就业指导服务中心</w:t>
            </w:r>
          </w:p>
        </w:tc>
        <w:tc>
          <w:tcPr>
            <w:tcW w:w="9866" w:type="dxa"/>
            <w:gridSpan w:val="2"/>
            <w:tcBorders>
              <w:top w:val="single" w:color="FFFFFF" w:sz="4" w:space="0"/>
              <w:left w:val="single" w:color="FFFFFF" w:sz="2" w:space="0"/>
              <w:right w:val="single" w:color="FFFFFF" w:sz="2" w:space="0"/>
            </w:tcBorders>
            <w:vAlign w:val="top"/>
          </w:tcPr>
          <w:p>
            <w:pPr>
              <w:pStyle w:val="6"/>
              <w:spacing w:before="209" w:line="182" w:lineRule="auto"/>
              <w:ind w:left="7221"/>
              <w:rPr>
                <w:sz w:val="24"/>
                <w:szCs w:val="24"/>
              </w:rPr>
            </w:pPr>
            <w:r>
              <w:rPr>
                <w:spacing w:val="-5"/>
                <w:sz w:val="24"/>
                <w:szCs w:val="24"/>
              </w:rPr>
              <w:t>截止时间 ：202</w:t>
            </w:r>
            <w:r>
              <w:rPr>
                <w:rFonts w:hint="eastAsia"/>
                <w:spacing w:val="-5"/>
                <w:sz w:val="24"/>
                <w:szCs w:val="24"/>
                <w:lang w:val="en-US" w:eastAsia="zh-CN"/>
              </w:rPr>
              <w:t>3</w:t>
            </w:r>
            <w:r>
              <w:rPr>
                <w:spacing w:val="-5"/>
                <w:sz w:val="24"/>
                <w:szCs w:val="24"/>
              </w:rPr>
              <w:t>-12-31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937" w:type="dxa"/>
            <w:vAlign w:val="top"/>
          </w:tcPr>
          <w:p>
            <w:pPr>
              <w:pStyle w:val="6"/>
              <w:spacing w:before="226" w:line="183" w:lineRule="auto"/>
              <w:ind w:left="2098"/>
            </w:pPr>
            <w:r>
              <w:rPr>
                <w:b/>
                <w:bCs/>
                <w:spacing w:val="3"/>
              </w:rPr>
              <w:t>项</w:t>
            </w:r>
            <w:r>
              <w:rPr>
                <w:b/>
                <w:bCs/>
                <w:spacing w:val="8"/>
              </w:rPr>
              <w:t xml:space="preserve">     </w:t>
            </w:r>
            <w:r>
              <w:rPr>
                <w:b/>
                <w:bCs/>
                <w:spacing w:val="3"/>
              </w:rPr>
              <w:t>目</w:t>
            </w:r>
          </w:p>
        </w:tc>
        <w:tc>
          <w:tcPr>
            <w:tcW w:w="4929" w:type="dxa"/>
            <w:vAlign w:val="top"/>
          </w:tcPr>
          <w:p>
            <w:pPr>
              <w:pStyle w:val="6"/>
              <w:spacing w:before="217" w:line="189" w:lineRule="auto"/>
              <w:ind w:left="2250"/>
            </w:pPr>
            <w:r>
              <w:rPr>
                <w:b/>
                <w:bCs/>
                <w:spacing w:val="8"/>
              </w:rPr>
              <w:t>数量</w:t>
            </w:r>
          </w:p>
        </w:tc>
        <w:tc>
          <w:tcPr>
            <w:tcW w:w="4937" w:type="dxa"/>
            <w:vAlign w:val="top"/>
          </w:tcPr>
          <w:p>
            <w:pPr>
              <w:pStyle w:val="6"/>
              <w:spacing w:before="174" w:line="233" w:lineRule="auto"/>
              <w:ind w:left="1311"/>
            </w:pPr>
            <w:r>
              <w:rPr>
                <w:b/>
                <w:bCs/>
                <w:spacing w:val="5"/>
              </w:rPr>
              <w:t>价值（金额单位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937" w:type="dxa"/>
            <w:vAlign w:val="top"/>
          </w:tcPr>
          <w:p>
            <w:pPr>
              <w:pStyle w:val="6"/>
              <w:spacing w:before="216" w:line="190" w:lineRule="auto"/>
              <w:ind w:left="109"/>
            </w:pPr>
            <w:r>
              <w:rPr>
                <w:spacing w:val="8"/>
              </w:rPr>
              <w:t>资产总额</w:t>
            </w:r>
          </w:p>
        </w:tc>
        <w:tc>
          <w:tcPr>
            <w:tcW w:w="4929" w:type="dxa"/>
            <w:vAlign w:val="top"/>
          </w:tcPr>
          <w:p>
            <w:pPr>
              <w:rPr>
                <w:rFonts w:ascii="Arial"/>
                <w:sz w:val="21"/>
              </w:rPr>
            </w:pPr>
          </w:p>
        </w:tc>
        <w:tc>
          <w:tcPr>
            <w:tcW w:w="4937" w:type="dxa"/>
            <w:vAlign w:val="top"/>
          </w:tcPr>
          <w:p>
            <w:pPr>
              <w:pStyle w:val="6"/>
              <w:spacing w:before="233" w:line="178" w:lineRule="auto"/>
              <w:ind w:left="4417"/>
              <w:rPr>
                <w:rFonts w:hint="default" w:eastAsia="微软雅黑"/>
                <w:lang w:val="en-US" w:eastAsia="zh-CN"/>
              </w:rPr>
            </w:pPr>
            <w:r>
              <w:rPr>
                <w:rFonts w:hint="eastAsia"/>
                <w:lang w:val="en-US" w:eastAsia="zh-CN"/>
              </w:rPr>
              <w:t>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937" w:type="dxa"/>
            <w:vAlign w:val="top"/>
          </w:tcPr>
          <w:p>
            <w:pPr>
              <w:pStyle w:val="6"/>
              <w:spacing w:before="179" w:line="229" w:lineRule="auto"/>
              <w:ind w:left="124"/>
            </w:pPr>
            <w:r>
              <w:rPr>
                <w:spacing w:val="8"/>
              </w:rPr>
              <w:t>1、房屋（平方米）</w:t>
            </w:r>
          </w:p>
        </w:tc>
        <w:tc>
          <w:tcPr>
            <w:tcW w:w="4929" w:type="dxa"/>
            <w:vAlign w:val="top"/>
          </w:tcPr>
          <w:p>
            <w:pPr>
              <w:rPr>
                <w:rFonts w:ascii="Arial"/>
                <w:sz w:val="21"/>
              </w:rPr>
            </w:pPr>
          </w:p>
        </w:tc>
        <w:tc>
          <w:tcPr>
            <w:tcW w:w="493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937" w:type="dxa"/>
            <w:vAlign w:val="top"/>
          </w:tcPr>
          <w:p>
            <w:pPr>
              <w:pStyle w:val="6"/>
              <w:spacing w:before="183" w:line="229" w:lineRule="auto"/>
              <w:ind w:left="529"/>
            </w:pPr>
            <w:r>
              <w:rPr>
                <w:spacing w:val="5"/>
              </w:rPr>
              <w:t>其中 ：办公用房（平方米）</w:t>
            </w:r>
          </w:p>
        </w:tc>
        <w:tc>
          <w:tcPr>
            <w:tcW w:w="4929" w:type="dxa"/>
            <w:vAlign w:val="top"/>
          </w:tcPr>
          <w:p>
            <w:pPr>
              <w:rPr>
                <w:rFonts w:ascii="Arial"/>
                <w:sz w:val="21"/>
              </w:rPr>
            </w:pPr>
          </w:p>
        </w:tc>
        <w:tc>
          <w:tcPr>
            <w:tcW w:w="493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4937" w:type="dxa"/>
            <w:vAlign w:val="top"/>
          </w:tcPr>
          <w:p>
            <w:pPr>
              <w:pStyle w:val="6"/>
              <w:spacing w:before="183" w:line="229" w:lineRule="auto"/>
              <w:ind w:left="117"/>
            </w:pPr>
            <w:r>
              <w:rPr>
                <w:spacing w:val="9"/>
              </w:rPr>
              <w:t>2、车辆（台、辆）</w:t>
            </w:r>
          </w:p>
        </w:tc>
        <w:tc>
          <w:tcPr>
            <w:tcW w:w="4929" w:type="dxa"/>
            <w:vAlign w:val="top"/>
          </w:tcPr>
          <w:p>
            <w:pPr>
              <w:rPr>
                <w:rFonts w:ascii="Arial"/>
                <w:sz w:val="21"/>
              </w:rPr>
            </w:pPr>
          </w:p>
        </w:tc>
        <w:tc>
          <w:tcPr>
            <w:tcW w:w="493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4937" w:type="dxa"/>
            <w:vAlign w:val="top"/>
          </w:tcPr>
          <w:p>
            <w:pPr>
              <w:pStyle w:val="6"/>
              <w:spacing w:before="222" w:line="190" w:lineRule="auto"/>
              <w:ind w:left="120"/>
            </w:pPr>
            <w:r>
              <w:rPr>
                <w:spacing w:val="6"/>
              </w:rPr>
              <w:t>3、单价在 20 万元以上的设备</w:t>
            </w:r>
          </w:p>
        </w:tc>
        <w:tc>
          <w:tcPr>
            <w:tcW w:w="4929" w:type="dxa"/>
            <w:vAlign w:val="top"/>
          </w:tcPr>
          <w:p>
            <w:pPr>
              <w:rPr>
                <w:rFonts w:ascii="Arial"/>
                <w:sz w:val="21"/>
              </w:rPr>
            </w:pPr>
          </w:p>
        </w:tc>
        <w:tc>
          <w:tcPr>
            <w:tcW w:w="4937"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4937" w:type="dxa"/>
            <w:vAlign w:val="top"/>
          </w:tcPr>
          <w:p>
            <w:pPr>
              <w:pStyle w:val="6"/>
              <w:spacing w:before="223" w:line="190" w:lineRule="auto"/>
              <w:ind w:left="108"/>
            </w:pPr>
            <w:r>
              <w:rPr>
                <w:spacing w:val="9"/>
              </w:rPr>
              <w:t>4、其他固定资产</w:t>
            </w:r>
          </w:p>
        </w:tc>
        <w:tc>
          <w:tcPr>
            <w:tcW w:w="4929" w:type="dxa"/>
            <w:vAlign w:val="top"/>
          </w:tcPr>
          <w:p>
            <w:pPr>
              <w:rPr>
                <w:rFonts w:ascii="Arial"/>
                <w:sz w:val="21"/>
              </w:rPr>
            </w:pPr>
          </w:p>
        </w:tc>
        <w:tc>
          <w:tcPr>
            <w:tcW w:w="4937" w:type="dxa"/>
            <w:vAlign w:val="top"/>
          </w:tcPr>
          <w:p>
            <w:pPr>
              <w:pStyle w:val="6"/>
              <w:spacing w:before="239" w:line="178" w:lineRule="auto"/>
              <w:ind w:left="4417"/>
              <w:rPr>
                <w:rFonts w:hint="default" w:eastAsia="微软雅黑"/>
                <w:lang w:val="en-US" w:eastAsia="zh-CN"/>
              </w:rPr>
            </w:pPr>
            <w:r>
              <w:rPr>
                <w:rFonts w:hint="eastAsia"/>
                <w:lang w:val="en-US" w:eastAsia="zh-CN"/>
              </w:rPr>
              <w:t>3.81</w:t>
            </w:r>
          </w:p>
        </w:tc>
      </w:tr>
    </w:tbl>
    <w:p>
      <w:pPr>
        <w:spacing w:line="372" w:lineRule="auto"/>
        <w:rPr>
          <w:rFonts w:ascii="Arial"/>
          <w:sz w:val="21"/>
        </w:rPr>
      </w:pPr>
    </w:p>
    <w:p>
      <w:pPr>
        <w:spacing w:before="101" w:line="228" w:lineRule="auto"/>
        <w:ind w:left="1081"/>
        <w:rPr>
          <w:rFonts w:ascii="黑体" w:hAnsi="黑体" w:eastAsia="黑体" w:cs="黑体"/>
          <w:sz w:val="31"/>
          <w:szCs w:val="31"/>
        </w:rPr>
      </w:pPr>
      <w:r>
        <w:rPr>
          <w:rFonts w:ascii="黑体" w:hAnsi="黑体" w:eastAsia="黑体" w:cs="黑体"/>
          <w:spacing w:val="7"/>
          <w:sz w:val="31"/>
          <w:szCs w:val="31"/>
        </w:rPr>
        <w:t>八、名词解释</w:t>
      </w:r>
    </w:p>
    <w:p>
      <w:pPr>
        <w:spacing w:line="228" w:lineRule="auto"/>
        <w:rPr>
          <w:rFonts w:ascii="黑体" w:hAnsi="黑体" w:eastAsia="黑体" w:cs="黑体"/>
          <w:sz w:val="31"/>
          <w:szCs w:val="31"/>
        </w:rPr>
        <w:sectPr>
          <w:pgSz w:w="16839" w:h="11906"/>
          <w:pgMar w:top="1012" w:right="1012" w:bottom="0" w:left="1011" w:header="0" w:footer="0" w:gutter="0"/>
          <w:pgBorders>
            <w:top w:val="none" w:sz="0" w:space="0"/>
            <w:left w:val="none" w:sz="0" w:space="0"/>
            <w:bottom w:val="none" w:sz="0" w:space="0"/>
            <w:right w:val="none" w:sz="0" w:space="0"/>
          </w:pgBorders>
          <w:cols w:space="720" w:num="1"/>
        </w:sect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2"/>
        <w:spacing w:before="120" w:line="184" w:lineRule="auto"/>
        <w:ind w:left="588"/>
      </w:pPr>
      <w:r>
        <w:rPr>
          <w:rFonts w:ascii="Times New Roman" w:hAnsi="Times New Roman" w:eastAsia="Times New Roman" w:cs="Times New Roman"/>
          <w:spacing w:val="-4"/>
        </w:rPr>
        <w:t>1</w:t>
      </w:r>
      <w:r>
        <w:rPr>
          <w:spacing w:val="-4"/>
        </w:rPr>
        <w:t>、</w:t>
      </w:r>
      <w:r>
        <w:rPr>
          <w:b/>
          <w:bCs/>
          <w:spacing w:val="-4"/>
        </w:rPr>
        <w:t>一般公共预算拨款收入 ：</w:t>
      </w:r>
      <w:r>
        <w:rPr>
          <w:spacing w:val="-4"/>
        </w:rPr>
        <w:t>指市级财政</w:t>
      </w:r>
      <w:r>
        <w:rPr>
          <w:spacing w:val="-5"/>
        </w:rPr>
        <w:t>当年拨付的资金。</w:t>
      </w:r>
    </w:p>
    <w:p>
      <w:pPr>
        <w:pStyle w:val="2"/>
        <w:spacing w:before="130" w:line="184" w:lineRule="auto"/>
        <w:ind w:left="561"/>
      </w:pPr>
      <w:r>
        <w:rPr>
          <w:rFonts w:ascii="Times New Roman" w:hAnsi="Times New Roman" w:eastAsia="Times New Roman" w:cs="Times New Roman"/>
          <w:spacing w:val="-3"/>
        </w:rPr>
        <w:t>2</w:t>
      </w:r>
      <w:r>
        <w:rPr>
          <w:spacing w:val="-3"/>
        </w:rPr>
        <w:t>、</w:t>
      </w:r>
      <w:r>
        <w:rPr>
          <w:b/>
          <w:bCs/>
          <w:spacing w:val="-3"/>
        </w:rPr>
        <w:t>事业收入 ：</w:t>
      </w:r>
      <w:r>
        <w:rPr>
          <w:spacing w:val="-3"/>
        </w:rPr>
        <w:t>指事业单位开展专业业务活动及辅助活动所取得的收入。</w:t>
      </w:r>
    </w:p>
    <w:p>
      <w:pPr>
        <w:pStyle w:val="2"/>
        <w:spacing w:before="131" w:line="502" w:lineRule="exact"/>
        <w:jc w:val="right"/>
      </w:pPr>
      <w:r>
        <w:rPr>
          <w:rFonts w:ascii="Times New Roman" w:hAnsi="Times New Roman" w:eastAsia="Times New Roman" w:cs="Times New Roman"/>
          <w:spacing w:val="-5"/>
          <w:position w:val="16"/>
        </w:rPr>
        <w:t>3</w:t>
      </w:r>
      <w:r>
        <w:rPr>
          <w:spacing w:val="-4"/>
          <w:position w:val="16"/>
        </w:rPr>
        <w:t>、</w:t>
      </w:r>
      <w:r>
        <w:rPr>
          <w:b/>
          <w:bCs/>
          <w:spacing w:val="-4"/>
          <w:position w:val="16"/>
        </w:rPr>
        <w:t>其他收入 ：</w:t>
      </w:r>
      <w:r>
        <w:rPr>
          <w:spacing w:val="-4"/>
          <w:position w:val="16"/>
        </w:rPr>
        <w:t>指除</w:t>
      </w:r>
      <w:r>
        <w:rPr>
          <w:rFonts w:ascii="Times New Roman" w:hAnsi="Times New Roman" w:eastAsia="Times New Roman" w:cs="Times New Roman"/>
          <w:spacing w:val="-4"/>
          <w:position w:val="16"/>
        </w:rPr>
        <w:t>“</w:t>
      </w:r>
      <w:r>
        <w:rPr>
          <w:spacing w:val="-4"/>
          <w:position w:val="16"/>
        </w:rPr>
        <w:t>一般公共预算拨款收入</w:t>
      </w:r>
      <w:r>
        <w:rPr>
          <w:rFonts w:ascii="Times New Roman" w:hAnsi="Times New Roman" w:eastAsia="Times New Roman" w:cs="Times New Roman"/>
          <w:spacing w:val="-4"/>
          <w:position w:val="16"/>
        </w:rPr>
        <w:t>”</w:t>
      </w:r>
      <w:r>
        <w:rPr>
          <w:spacing w:val="-4"/>
          <w:position w:val="16"/>
        </w:rPr>
        <w:t>、</w:t>
      </w:r>
      <w:r>
        <w:rPr>
          <w:rFonts w:ascii="Times New Roman" w:hAnsi="Times New Roman" w:eastAsia="Times New Roman" w:cs="Times New Roman"/>
          <w:spacing w:val="-4"/>
          <w:position w:val="16"/>
        </w:rPr>
        <w:t>“</w:t>
      </w:r>
      <w:r>
        <w:rPr>
          <w:spacing w:val="-4"/>
          <w:position w:val="16"/>
        </w:rPr>
        <w:t>事业收入</w:t>
      </w:r>
      <w:r>
        <w:rPr>
          <w:rFonts w:ascii="Times New Roman" w:hAnsi="Times New Roman" w:eastAsia="Times New Roman" w:cs="Times New Roman"/>
          <w:spacing w:val="-4"/>
          <w:position w:val="16"/>
        </w:rPr>
        <w:t>”</w:t>
      </w:r>
      <w:r>
        <w:rPr>
          <w:spacing w:val="-4"/>
          <w:position w:val="16"/>
        </w:rPr>
        <w:t>等以外的收入。主要是按规定动用的租</w:t>
      </w:r>
      <w:r>
        <w:rPr>
          <w:spacing w:val="-5"/>
          <w:position w:val="16"/>
        </w:rPr>
        <w:t>房收入、存</w:t>
      </w:r>
      <w:r>
        <w:rPr>
          <w:spacing w:val="-4"/>
          <w:position w:val="16"/>
        </w:rPr>
        <w:t>款</w:t>
      </w:r>
    </w:p>
    <w:p>
      <w:pPr>
        <w:pStyle w:val="2"/>
        <w:spacing w:before="1" w:line="183" w:lineRule="auto"/>
      </w:pPr>
      <w:r>
        <w:rPr>
          <w:spacing w:val="-1"/>
        </w:rPr>
        <w:t>利息收入等。</w:t>
      </w:r>
    </w:p>
    <w:p>
      <w:pPr>
        <w:pStyle w:val="2"/>
        <w:spacing w:before="131" w:line="184" w:lineRule="auto"/>
        <w:ind w:left="560"/>
      </w:pPr>
      <w:r>
        <w:rPr>
          <w:rFonts w:ascii="Times New Roman" w:hAnsi="Times New Roman" w:eastAsia="Times New Roman" w:cs="Times New Roman"/>
          <w:spacing w:val="-2"/>
        </w:rPr>
        <w:t>4</w:t>
      </w:r>
      <w:r>
        <w:rPr>
          <w:spacing w:val="-2"/>
        </w:rPr>
        <w:t>、</w:t>
      </w:r>
      <w:r>
        <w:rPr>
          <w:b/>
          <w:bCs/>
          <w:spacing w:val="-2"/>
        </w:rPr>
        <w:t>基本支出 ：</w:t>
      </w:r>
      <w:r>
        <w:rPr>
          <w:spacing w:val="-2"/>
        </w:rPr>
        <w:t>指为保障机构正常运转、完成日常工作任务而发生的人员支出和公</w:t>
      </w:r>
      <w:r>
        <w:rPr>
          <w:spacing w:val="-3"/>
        </w:rPr>
        <w:t>用支出。</w:t>
      </w:r>
    </w:p>
    <w:p>
      <w:pPr>
        <w:pStyle w:val="2"/>
        <w:spacing w:before="131" w:line="184" w:lineRule="auto"/>
        <w:ind w:left="569"/>
      </w:pPr>
      <w:r>
        <w:rPr>
          <w:rFonts w:ascii="Times New Roman" w:hAnsi="Times New Roman" w:eastAsia="Times New Roman" w:cs="Times New Roman"/>
          <w:spacing w:val="-2"/>
        </w:rPr>
        <w:t>5</w:t>
      </w:r>
      <w:r>
        <w:rPr>
          <w:spacing w:val="-2"/>
        </w:rPr>
        <w:t>、</w:t>
      </w:r>
      <w:r>
        <w:rPr>
          <w:b/>
          <w:bCs/>
          <w:spacing w:val="-2"/>
        </w:rPr>
        <w:t>项目支出 ：</w:t>
      </w:r>
      <w:r>
        <w:rPr>
          <w:spacing w:val="-2"/>
        </w:rPr>
        <w:t>指在基本支出之外为完成特</w:t>
      </w:r>
      <w:r>
        <w:rPr>
          <w:spacing w:val="-3"/>
        </w:rPr>
        <w:t>定行政任务和事业发展目标所发生的支出。</w:t>
      </w:r>
    </w:p>
    <w:p>
      <w:pPr>
        <w:pStyle w:val="2"/>
        <w:spacing w:before="133" w:line="184" w:lineRule="auto"/>
        <w:ind w:left="567"/>
      </w:pPr>
      <w:r>
        <w:rPr>
          <w:rFonts w:ascii="Times New Roman" w:hAnsi="Times New Roman" w:eastAsia="Times New Roman" w:cs="Times New Roman"/>
          <w:spacing w:val="-4"/>
        </w:rPr>
        <w:t>6</w:t>
      </w:r>
      <w:r>
        <w:rPr>
          <w:spacing w:val="-4"/>
        </w:rPr>
        <w:t>、</w:t>
      </w:r>
      <w:r>
        <w:rPr>
          <w:b/>
          <w:bCs/>
          <w:spacing w:val="-4"/>
        </w:rPr>
        <w:t>上缴上级支出 ：</w:t>
      </w:r>
      <w:r>
        <w:rPr>
          <w:spacing w:val="-4"/>
        </w:rPr>
        <w:t>指下级单位上缴上级</w:t>
      </w:r>
      <w:r>
        <w:rPr>
          <w:spacing w:val="-5"/>
        </w:rPr>
        <w:t>的支出。</w:t>
      </w:r>
    </w:p>
    <w:p>
      <w:pPr>
        <w:pStyle w:val="2"/>
        <w:spacing w:before="78" w:line="250" w:lineRule="auto"/>
        <w:ind w:firstLine="565"/>
      </w:pPr>
      <w:r>
        <w:rPr>
          <w:rFonts w:ascii="Times New Roman" w:hAnsi="Times New Roman" w:eastAsia="Times New Roman" w:cs="Times New Roman"/>
          <w:spacing w:val="-2"/>
        </w:rPr>
        <w:t>7</w:t>
      </w:r>
      <w:r>
        <w:rPr>
          <w:spacing w:val="-2"/>
        </w:rPr>
        <w:t>、</w:t>
      </w:r>
      <w:r>
        <w:rPr>
          <w:rFonts w:ascii="Times New Roman" w:hAnsi="Times New Roman" w:eastAsia="Times New Roman" w:cs="Times New Roman"/>
          <w:b/>
          <w:bCs/>
          <w:spacing w:val="-2"/>
        </w:rPr>
        <w:t>“</w:t>
      </w:r>
      <w:r>
        <w:rPr>
          <w:b/>
          <w:bCs/>
          <w:spacing w:val="-2"/>
        </w:rPr>
        <w:t>三公</w:t>
      </w:r>
      <w:r>
        <w:rPr>
          <w:rFonts w:ascii="Times New Roman" w:hAnsi="Times New Roman" w:eastAsia="Times New Roman" w:cs="Times New Roman"/>
          <w:b/>
          <w:bCs/>
          <w:spacing w:val="-2"/>
        </w:rPr>
        <w:t>”</w:t>
      </w:r>
      <w:r>
        <w:rPr>
          <w:b/>
          <w:bCs/>
          <w:spacing w:val="-2"/>
        </w:rPr>
        <w:t>经费</w:t>
      </w:r>
      <w:r>
        <w:rPr>
          <w:b/>
          <w:bCs/>
          <w:spacing w:val="-15"/>
        </w:rPr>
        <w:t xml:space="preserve"> </w:t>
      </w:r>
      <w:r>
        <w:rPr>
          <w:b/>
          <w:bCs/>
          <w:spacing w:val="-2"/>
        </w:rPr>
        <w:t>：</w:t>
      </w:r>
      <w:r>
        <w:rPr>
          <w:spacing w:val="-2"/>
        </w:rPr>
        <w:t>纳入市级财政预算管理的</w:t>
      </w:r>
      <w:r>
        <w:rPr>
          <w:rFonts w:ascii="Times New Roman" w:hAnsi="Times New Roman" w:eastAsia="Times New Roman" w:cs="Times New Roman"/>
          <w:spacing w:val="-2"/>
        </w:rPr>
        <w:t>“</w:t>
      </w:r>
      <w:r>
        <w:rPr>
          <w:spacing w:val="-2"/>
        </w:rPr>
        <w:t>三公</w:t>
      </w:r>
      <w:r>
        <w:rPr>
          <w:rFonts w:ascii="Times New Roman" w:hAnsi="Times New Roman" w:eastAsia="Times New Roman" w:cs="Times New Roman"/>
          <w:spacing w:val="-2"/>
        </w:rPr>
        <w:t>”</w:t>
      </w:r>
      <w:r>
        <w:rPr>
          <w:spacing w:val="-2"/>
        </w:rPr>
        <w:t>经费</w:t>
      </w:r>
      <w:r>
        <w:rPr>
          <w:spacing w:val="-15"/>
        </w:rPr>
        <w:t xml:space="preserve"> </w:t>
      </w:r>
      <w:r>
        <w:rPr>
          <w:spacing w:val="-2"/>
        </w:rPr>
        <w:t>，是指预</w:t>
      </w:r>
      <w:r>
        <w:rPr>
          <w:spacing w:val="-3"/>
        </w:rPr>
        <w:t>算部门单位用财政拨款安排的因公出国（境）</w:t>
      </w:r>
      <w:r>
        <w:t xml:space="preserve">  </w:t>
      </w:r>
      <w:r>
        <w:rPr>
          <w:spacing w:val="-2"/>
        </w:rPr>
        <w:t>费、公务用车购置及运维费和公务接待费。其中 ，</w:t>
      </w:r>
      <w:r>
        <w:rPr>
          <w:spacing w:val="-3"/>
        </w:rPr>
        <w:t>因公出国（境）费反映单位公务出国（境）的住宿费、旅费、伙</w:t>
      </w:r>
      <w:r>
        <w:t xml:space="preserve"> </w:t>
      </w:r>
      <w:r>
        <w:rPr>
          <w:spacing w:val="-1"/>
        </w:rPr>
        <w:t>食补助费、杂费、培训费等支出；公务用车购置及运维费反映单位公务用车购置费及租用费、燃料费、维修费、过</w:t>
      </w:r>
    </w:p>
    <w:p>
      <w:pPr>
        <w:pStyle w:val="2"/>
        <w:spacing w:before="1" w:line="221" w:lineRule="auto"/>
        <w:jc w:val="right"/>
      </w:pPr>
      <w:r>
        <w:rPr>
          <w:spacing w:val="-1"/>
        </w:rPr>
        <w:t>路过桥费、保险费、安全奖励费用等支出；公务接待费反映单位按规定开支的各类公务接待（含</w:t>
      </w:r>
      <w:r>
        <w:rPr>
          <w:spacing w:val="-2"/>
        </w:rPr>
        <w:t>外宾接待）支出。</w:t>
      </w:r>
    </w:p>
    <w:p>
      <w:pPr>
        <w:pStyle w:val="2"/>
        <w:spacing w:before="105" w:line="251" w:lineRule="auto"/>
        <w:ind w:left="1" w:firstLine="571"/>
      </w:pPr>
      <w:r>
        <w:rPr>
          <w:rFonts w:ascii="Times New Roman" w:hAnsi="Times New Roman" w:eastAsia="Times New Roman" w:cs="Times New Roman"/>
          <w:spacing w:val="-4"/>
        </w:rPr>
        <w:t>8</w:t>
      </w:r>
      <w:r>
        <w:rPr>
          <w:spacing w:val="-4"/>
        </w:rPr>
        <w:t>、</w:t>
      </w:r>
      <w:r>
        <w:rPr>
          <w:b/>
          <w:bCs/>
          <w:spacing w:val="-4"/>
        </w:rPr>
        <w:t>机关运行费</w:t>
      </w:r>
      <w:r>
        <w:rPr>
          <w:b/>
          <w:bCs/>
          <w:spacing w:val="-15"/>
        </w:rPr>
        <w:t xml:space="preserve"> </w:t>
      </w:r>
      <w:r>
        <w:rPr>
          <w:b/>
          <w:bCs/>
          <w:spacing w:val="-4"/>
        </w:rPr>
        <w:t>：</w:t>
      </w:r>
      <w:r>
        <w:rPr>
          <w:spacing w:val="-4"/>
        </w:rPr>
        <w:t>是指各部门的公用经费 ，包括办公及印刷费、邮电费、</w:t>
      </w:r>
      <w:r>
        <w:rPr>
          <w:spacing w:val="-5"/>
        </w:rPr>
        <w:t>差旅费、会议费、福利费、</w:t>
      </w:r>
      <w:r>
        <w:rPr>
          <w:spacing w:val="-40"/>
        </w:rPr>
        <w:t xml:space="preserve"> </w:t>
      </w:r>
      <w:r>
        <w:rPr>
          <w:spacing w:val="-5"/>
        </w:rPr>
        <w:t>日常维修</w:t>
      </w:r>
      <w:r>
        <w:t xml:space="preserve">  </w:t>
      </w:r>
      <w:r>
        <w:rPr>
          <w:spacing w:val="-1"/>
        </w:rPr>
        <w:t>费、专用材料及一般设备购置费、办公用房水电费、办公用房取暖费、办公用房物业管理费、公务用车运行维护费</w:t>
      </w:r>
    </w:p>
    <w:p>
      <w:pPr>
        <w:pStyle w:val="2"/>
        <w:spacing w:before="2" w:line="182" w:lineRule="auto"/>
        <w:ind w:left="10"/>
      </w:pPr>
      <w:r>
        <w:rPr>
          <w:spacing w:val="-2"/>
        </w:rPr>
        <w:t>以及其他费用。</w:t>
      </w:r>
    </w:p>
    <w:p>
      <w:pPr>
        <w:pStyle w:val="2"/>
        <w:spacing w:before="131" w:line="184" w:lineRule="auto"/>
        <w:ind w:left="567"/>
      </w:pPr>
      <w:r>
        <w:rPr>
          <w:rFonts w:ascii="Times New Roman" w:hAnsi="Times New Roman" w:eastAsia="Times New Roman" w:cs="Times New Roman"/>
          <w:spacing w:val="-2"/>
        </w:rPr>
        <w:t>9</w:t>
      </w:r>
      <w:r>
        <w:rPr>
          <w:spacing w:val="-2"/>
        </w:rPr>
        <w:t>、</w:t>
      </w:r>
      <w:r>
        <w:rPr>
          <w:b/>
          <w:bCs/>
          <w:spacing w:val="-2"/>
        </w:rPr>
        <w:t>上年结转 ：</w:t>
      </w:r>
      <w:r>
        <w:rPr>
          <w:spacing w:val="-2"/>
        </w:rPr>
        <w:t>指以前年度尚未完成、结转到</w:t>
      </w:r>
      <w:r>
        <w:rPr>
          <w:spacing w:val="-3"/>
        </w:rPr>
        <w:t>本年仍按原规定用途继续使用的资金。</w:t>
      </w:r>
    </w:p>
    <w:p>
      <w:pPr>
        <w:pStyle w:val="2"/>
        <w:spacing w:before="133" w:line="184" w:lineRule="auto"/>
        <w:jc w:val="right"/>
      </w:pPr>
      <w:r>
        <w:rPr>
          <w:rFonts w:ascii="Times New Roman" w:hAnsi="Times New Roman" w:eastAsia="Times New Roman" w:cs="Times New Roman"/>
          <w:spacing w:val="-3"/>
        </w:rPr>
        <w:t>10</w:t>
      </w:r>
      <w:r>
        <w:rPr>
          <w:spacing w:val="-3"/>
        </w:rPr>
        <w:t>、</w:t>
      </w:r>
      <w:r>
        <w:rPr>
          <w:b/>
          <w:bCs/>
          <w:spacing w:val="-3"/>
        </w:rPr>
        <w:t>事业单位经营支出</w:t>
      </w:r>
      <w:r>
        <w:rPr>
          <w:b/>
          <w:bCs/>
          <w:spacing w:val="-15"/>
        </w:rPr>
        <w:t xml:space="preserve"> </w:t>
      </w:r>
      <w:r>
        <w:rPr>
          <w:b/>
          <w:bCs/>
          <w:spacing w:val="-3"/>
        </w:rPr>
        <w:t>：</w:t>
      </w:r>
      <w:r>
        <w:rPr>
          <w:spacing w:val="-3"/>
        </w:rPr>
        <w:t>指事业单位在专业业务活动及其辅助活动之外开展非独立核算经营活</w:t>
      </w:r>
      <w:r>
        <w:rPr>
          <w:spacing w:val="-4"/>
        </w:rPr>
        <w:t>动发生的支出。</w:t>
      </w:r>
    </w:p>
    <w:p>
      <w:pPr>
        <w:spacing w:line="184" w:lineRule="auto"/>
        <w:sectPr>
          <w:pgSz w:w="16839" w:h="11906"/>
          <w:pgMar w:top="1012" w:right="1439" w:bottom="0" w:left="1443" w:header="0" w:footer="0" w:gutter="0"/>
          <w:pgBorders>
            <w:top w:val="none" w:sz="0" w:space="0"/>
            <w:left w:val="none" w:sz="0" w:space="0"/>
            <w:bottom w:val="none" w:sz="0" w:space="0"/>
            <w:right w:val="none" w:sz="0" w:space="0"/>
          </w:pgBorders>
          <w:cols w:space="720" w:num="1"/>
        </w:sect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100" w:line="643" w:lineRule="exact"/>
        <w:ind w:left="98"/>
        <w:rPr>
          <w:rFonts w:ascii="黑体" w:hAnsi="黑体" w:eastAsia="黑体" w:cs="黑体"/>
          <w:sz w:val="31"/>
          <w:szCs w:val="31"/>
        </w:rPr>
      </w:pPr>
      <w:bookmarkStart w:id="6" w:name="bookmark18"/>
      <w:bookmarkEnd w:id="6"/>
      <w:r>
        <w:rPr>
          <w:rFonts w:ascii="黑体" w:hAnsi="黑体" w:eastAsia="黑体" w:cs="黑体"/>
          <w:spacing w:val="8"/>
          <w:position w:val="24"/>
          <w:sz w:val="31"/>
          <w:szCs w:val="31"/>
        </w:rPr>
        <w:t>九、其他需要说明的事项</w:t>
      </w:r>
    </w:p>
    <w:p>
      <w:pPr>
        <w:pStyle w:val="2"/>
        <w:spacing w:before="1" w:line="183" w:lineRule="auto"/>
      </w:pPr>
      <w:r>
        <w:rPr>
          <w:spacing w:val="-1"/>
        </w:rPr>
        <w:t>我单位无其他需要说明的事项。</w:t>
      </w:r>
    </w:p>
    <w:sectPr>
      <w:pgSz w:w="16839" w:h="11906"/>
      <w:pgMar w:top="1012" w:right="2525" w:bottom="0" w:left="2002" w:header="0" w:footer="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normal">
    <w:altName w:val="Segoe Print"/>
    <w:panose1 w:val="00000000000000000000"/>
    <w:charset w:val="00"/>
    <w:family w:val="auto"/>
    <w:pitch w:val="default"/>
    <w:sig w:usb0="00000000" w:usb1="00000000" w:usb2="00000000" w:usb3="00000000" w:csb0="00000000" w:csb1="00000000"/>
  </w:font>
  <w:font w:name="方正书宋_GBK">
    <w:panose1 w:val="03000509000000000000"/>
    <w:charset w:val="86"/>
    <w:family w:val="roma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3B143"/>
    <w:multiLevelType w:val="singleLevel"/>
    <w:tmpl w:val="AA43B1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mM0MWI4ZDUzMzBkZjdjY2IxZWVjZDk3M2M4ZjQ3ZGQifQ=="/>
  </w:docVars>
  <w:rsids>
    <w:rsidRoot w:val="00000000"/>
    <w:rsid w:val="0AE451E1"/>
    <w:rsid w:val="0F7756E1"/>
    <w:rsid w:val="21D223EE"/>
    <w:rsid w:val="22AF228D"/>
    <w:rsid w:val="2F1F601A"/>
    <w:rsid w:val="2F7077B7"/>
    <w:rsid w:val="3AAD7959"/>
    <w:rsid w:val="45B05EE5"/>
    <w:rsid w:val="4DA06DE7"/>
    <w:rsid w:val="58676B3B"/>
    <w:rsid w:val="601F1DA8"/>
    <w:rsid w:val="764351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微软雅黑" w:hAnsi="微软雅黑" w:eastAsia="微软雅黑" w:cs="微软雅黑"/>
      <w:sz w:val="28"/>
      <w:szCs w:val="28"/>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微软雅黑" w:hAnsi="微软雅黑" w:eastAsia="微软雅黑" w:cs="微软雅黑"/>
      <w:sz w:val="20"/>
      <w:szCs w:val="20"/>
      <w:lang w:val="en-US" w:eastAsia="en-US" w:bidi="ar-SA"/>
    </w:rPr>
  </w:style>
  <w:style w:type="character" w:customStyle="1" w:styleId="7">
    <w:name w:val="font41"/>
    <w:basedOn w:val="4"/>
    <w:autoRedefine/>
    <w:qFormat/>
    <w:uiPriority w:val="0"/>
    <w:rPr>
      <w:rFonts w:ascii="normal" w:hAnsi="normal" w:eastAsia="normal" w:cs="normal"/>
      <w:color w:val="000000"/>
      <w:sz w:val="27"/>
      <w:szCs w:val="27"/>
      <w:u w:val="none"/>
    </w:rPr>
  </w:style>
  <w:style w:type="character" w:customStyle="1" w:styleId="8">
    <w:name w:val="font21"/>
    <w:basedOn w:val="4"/>
    <w:autoRedefine/>
    <w:qFormat/>
    <w:uiPriority w:val="0"/>
    <w:rPr>
      <w:rFonts w:hint="eastAsia" w:ascii="宋体" w:hAnsi="宋体" w:eastAsia="宋体" w:cs="宋体"/>
      <w:color w:val="000000"/>
      <w:sz w:val="27"/>
      <w:szCs w:val="27"/>
      <w:u w:val="none"/>
    </w:rPr>
  </w:style>
  <w:style w:type="paragraph" w:customStyle="1" w:styleId="9">
    <w:name w:val="单元格样式5"/>
    <w:basedOn w:val="1"/>
    <w:autoRedefine/>
    <w:qFormat/>
    <w:uiPriority w:val="0"/>
    <w:rPr>
      <w:rFonts w:ascii="方正书宋_GBK" w:hAnsi="方正书宋_GBK" w:eastAsia="方正书宋_GBK" w:cs="方正书宋_GBK"/>
      <w:b/>
      <w:sz w:val="21"/>
    </w:rPr>
  </w:style>
  <w:style w:type="paragraph" w:customStyle="1" w:styleId="10">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1">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autoRedefine/>
    <w:qFormat/>
    <w:uiPriority w:val="0"/>
    <w:pPr>
      <w:jc w:val="center"/>
    </w:pPr>
    <w:rPr>
      <w:rFonts w:ascii="方正书宋_GBK" w:hAnsi="方正书宋_GBK" w:eastAsia="方正书宋_GBK" w:cs="方正书宋_GBK"/>
      <w:sz w:val="21"/>
    </w:rPr>
  </w:style>
  <w:style w:type="character" w:customStyle="1" w:styleId="14">
    <w:name w:val="variable"/>
    <w:basedOn w:val="4"/>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31</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2024-02-20T15:35:00Z</dcterms:created>
  <dc:creator>Kingsoft-PDF</dc:creator>
  <cp:lastModifiedBy>€水果硬糖€</cp:lastModifiedBy>
  <cp:lastPrinted>2024-02-22T03:07:00Z</cp:lastPrinted>
  <dcterms:modified xsi:type="dcterms:W3CDTF">2024-04-22T07:20:26Z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2024-02-20T15:35:10Z</vt:filetime>
  </property>
  <property fmtid="{D5CDD505-2E9C-101B-9397-08002B2CF9AE}" pid="4" name="UsrData">
    <vt:lpwstr>65d4562a2af94e001ffb8602wl</vt:lpwstr>
  </property>
  <property fmtid="{D5CDD505-2E9C-101B-9397-08002B2CF9AE}" pid="5" name="KSOProductBuildVer">
    <vt:lpwstr>2052-12.1.0.16417</vt:lpwstr>
  </property>
  <property fmtid="{D5CDD505-2E9C-101B-9397-08002B2CF9AE}" pid="6" name="ICV">
    <vt:lpwstr>B16ADE602AD040D893ECBCE4F5EA28A6_13</vt:lpwstr>
  </property>
</Properties>
</file>